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99" w:rsidRDefault="00C47399" w:rsidP="00C47399">
      <w:pPr>
        <w:pStyle w:val="NoSpacing"/>
        <w:rPr>
          <w:rFonts w:ascii="Century Gothic" w:hAnsi="Century Gothic"/>
          <w:b/>
          <w:sz w:val="20"/>
          <w:szCs w:val="20"/>
        </w:rPr>
      </w:pPr>
    </w:p>
    <w:p w:rsidR="00C47399" w:rsidRPr="00F01C82" w:rsidRDefault="00C47399" w:rsidP="00C47399">
      <w:pPr>
        <w:pStyle w:val="NoSpacing"/>
        <w:rPr>
          <w:rFonts w:ascii="Century Gothic" w:hAnsi="Century Gothic"/>
          <w:b/>
        </w:rPr>
      </w:pPr>
      <w:r w:rsidRPr="00F01C82">
        <w:rPr>
          <w:rFonts w:ascii="Century Gothic" w:hAnsi="Century Gothic"/>
          <w:b/>
        </w:rPr>
        <w:t>Beacon Signal Tech Gear Lubricants</w:t>
      </w:r>
    </w:p>
    <w:p w:rsidR="00C47399" w:rsidRDefault="00C47399" w:rsidP="00C47399">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C47399" w:rsidTr="00F01C82">
        <w:tc>
          <w:tcPr>
            <w:tcW w:w="9360" w:type="dxa"/>
            <w:tcBorders>
              <w:top w:val="nil"/>
              <w:left w:val="nil"/>
              <w:bottom w:val="nil"/>
              <w:right w:val="nil"/>
            </w:tcBorders>
            <w:shd w:val="clear" w:color="auto" w:fill="FF0000"/>
            <w:hideMark/>
          </w:tcPr>
          <w:p w:rsidR="00C47399" w:rsidRDefault="00C47399">
            <w:pPr>
              <w:pStyle w:val="NoSpacing"/>
              <w:jc w:val="center"/>
              <w:rPr>
                <w:rFonts w:ascii="Century Gothic" w:hAnsi="Century Gothic"/>
                <w:color w:val="FFFFFF" w:themeColor="background1"/>
                <w:sz w:val="20"/>
                <w:szCs w:val="20"/>
              </w:rPr>
            </w:pPr>
            <w:r>
              <w:rPr>
                <w:rFonts w:ascii="Century Gothic" w:hAnsi="Century Gothic"/>
                <w:color w:val="FFFFFF" w:themeColor="background1"/>
                <w:sz w:val="20"/>
                <w:szCs w:val="20"/>
              </w:rPr>
              <w:t>Product Application:</w:t>
            </w:r>
          </w:p>
        </w:tc>
      </w:tr>
    </w:tbl>
    <w:p w:rsidR="00C47399" w:rsidRDefault="00C47399" w:rsidP="00C47399">
      <w:pPr>
        <w:pStyle w:val="NoSpacing"/>
        <w:rPr>
          <w:rFonts w:ascii="Century Gothic" w:hAnsi="Century Gothic"/>
          <w:sz w:val="20"/>
          <w:szCs w:val="20"/>
        </w:rPr>
      </w:pPr>
    </w:p>
    <w:p w:rsidR="00C47399" w:rsidRDefault="00C47399" w:rsidP="00C47399">
      <w:pPr>
        <w:pStyle w:val="NoSpacing"/>
        <w:rPr>
          <w:rFonts w:ascii="Century Gothic" w:hAnsi="Century Gothic"/>
          <w:sz w:val="20"/>
          <w:szCs w:val="20"/>
        </w:rPr>
      </w:pPr>
      <w:r>
        <w:rPr>
          <w:rFonts w:ascii="Century Gothic" w:hAnsi="Century Gothic"/>
          <w:sz w:val="20"/>
          <w:szCs w:val="20"/>
        </w:rPr>
        <w:t xml:space="preserve">Beacon Signal Tech Gear Lubricants, 75W-90 &amp; 80W-140 are superior quality extended life synthetic drivetrain lubricants designed to meet the most demanding on and off road applications while meeting all extended warranty requirements. </w:t>
      </w:r>
    </w:p>
    <w:p w:rsidR="00C47399" w:rsidRDefault="00C47399" w:rsidP="00C47399">
      <w:pPr>
        <w:pStyle w:val="NoSpacing"/>
        <w:rPr>
          <w:rFonts w:ascii="Century Gothic" w:hAnsi="Century Gothic"/>
          <w:sz w:val="20"/>
          <w:szCs w:val="20"/>
        </w:rPr>
      </w:pPr>
      <w:r>
        <w:rPr>
          <w:rFonts w:ascii="Century Gothic" w:hAnsi="Century Gothic"/>
          <w:sz w:val="20"/>
          <w:szCs w:val="20"/>
        </w:rPr>
        <w:t xml:space="preserve">They are designed for use in heavy-duty drivetrain systems by providing for excellent lubricants, extreme pressure protection while maintain proper viscosity in all types of climates. </w:t>
      </w:r>
      <w:r>
        <w:rPr>
          <w:rFonts w:ascii="Century Gothic" w:hAnsi="Century Gothic"/>
          <w:sz w:val="20"/>
          <w:szCs w:val="20"/>
        </w:rPr>
        <w:br/>
        <w:t xml:space="preserve">Beacon Signal Tech Gear Lubricants are formulated with the latest state of the art synthesized base stocks and most advanced additive componentry to provide excellent thermal and oxidative stability, tenacious shear stability while providing for extended drain intervals and maintaining the necessary friction modification to provide excellent fuel economy.  </w:t>
      </w:r>
    </w:p>
    <w:p w:rsidR="00C47399" w:rsidRDefault="00C47399" w:rsidP="00C47399">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C47399" w:rsidTr="00F01C82">
        <w:tc>
          <w:tcPr>
            <w:tcW w:w="9360" w:type="dxa"/>
            <w:tcBorders>
              <w:top w:val="nil"/>
              <w:left w:val="nil"/>
              <w:bottom w:val="nil"/>
              <w:right w:val="nil"/>
            </w:tcBorders>
            <w:shd w:val="clear" w:color="auto" w:fill="FF0000"/>
            <w:hideMark/>
          </w:tcPr>
          <w:p w:rsidR="00C47399" w:rsidRDefault="00C47399">
            <w:pPr>
              <w:pStyle w:val="NoSpacing"/>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&amp; Advantages</w:t>
            </w:r>
          </w:p>
        </w:tc>
      </w:tr>
    </w:tbl>
    <w:p w:rsidR="00C47399" w:rsidRDefault="00C47399" w:rsidP="00C47399">
      <w:pPr>
        <w:pStyle w:val="NoSpacing"/>
        <w:rPr>
          <w:rFonts w:ascii="Century Gothic" w:hAnsi="Century Gothic"/>
          <w:sz w:val="20"/>
          <w:szCs w:val="20"/>
        </w:rPr>
      </w:pPr>
      <w:r>
        <w:rPr>
          <w:rFonts w:ascii="Century Gothic" w:hAnsi="Century Gothic"/>
          <w:sz w:val="20"/>
          <w:szCs w:val="20"/>
        </w:rPr>
        <w:t xml:space="preserve">*Excellent thermal and oxidation stability </w:t>
      </w:r>
    </w:p>
    <w:p w:rsidR="00C47399" w:rsidRDefault="00C47399" w:rsidP="00C47399">
      <w:pPr>
        <w:pStyle w:val="NoSpacing"/>
        <w:rPr>
          <w:rFonts w:ascii="Century Gothic" w:hAnsi="Century Gothic"/>
          <w:sz w:val="20"/>
          <w:szCs w:val="20"/>
        </w:rPr>
      </w:pPr>
      <w:r>
        <w:rPr>
          <w:rFonts w:ascii="Century Gothic" w:hAnsi="Century Gothic"/>
          <w:sz w:val="20"/>
          <w:szCs w:val="20"/>
        </w:rPr>
        <w:t xml:space="preserve">*High viscosity index and low pour point </w:t>
      </w:r>
    </w:p>
    <w:p w:rsidR="00C47399" w:rsidRDefault="00C47399" w:rsidP="00C47399">
      <w:pPr>
        <w:pStyle w:val="NoSpacing"/>
        <w:rPr>
          <w:rFonts w:ascii="Century Gothic" w:hAnsi="Century Gothic"/>
          <w:sz w:val="20"/>
          <w:szCs w:val="20"/>
        </w:rPr>
      </w:pPr>
      <w:r>
        <w:rPr>
          <w:rFonts w:ascii="Century Gothic" w:hAnsi="Century Gothic"/>
          <w:sz w:val="20"/>
          <w:szCs w:val="20"/>
        </w:rPr>
        <w:t xml:space="preserve">*Excellent seal compatibility </w:t>
      </w:r>
    </w:p>
    <w:p w:rsidR="00C47399" w:rsidRDefault="00C47399" w:rsidP="00C47399">
      <w:pPr>
        <w:pStyle w:val="NoSpacing"/>
        <w:rPr>
          <w:rFonts w:ascii="Century Gothic" w:hAnsi="Century Gothic"/>
          <w:sz w:val="20"/>
          <w:szCs w:val="20"/>
        </w:rPr>
      </w:pPr>
      <w:r>
        <w:rPr>
          <w:rFonts w:ascii="Century Gothic" w:hAnsi="Century Gothic"/>
          <w:sz w:val="20"/>
          <w:szCs w:val="20"/>
        </w:rPr>
        <w:t xml:space="preserve">*Enhanced friction reducing capabilities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7399" w:rsidTr="00F01C82">
        <w:tc>
          <w:tcPr>
            <w:tcW w:w="9360" w:type="dxa"/>
            <w:shd w:val="clear" w:color="auto" w:fill="FF0000"/>
            <w:hideMark/>
          </w:tcPr>
          <w:p w:rsidR="00C47399" w:rsidRDefault="00C47399">
            <w:pPr>
              <w:pStyle w:val="NoSpacing"/>
              <w:jc w:val="center"/>
              <w:rPr>
                <w:rFonts w:ascii="Century Gothic" w:hAnsi="Century Gothic"/>
                <w:color w:val="FFFFFF" w:themeColor="background1"/>
                <w:sz w:val="20"/>
                <w:szCs w:val="20"/>
              </w:rPr>
            </w:pPr>
            <w:r>
              <w:rPr>
                <w:rFonts w:ascii="Century Gothic" w:hAnsi="Century Gothic"/>
                <w:color w:val="FFFFFF" w:themeColor="background1"/>
                <w:sz w:val="20"/>
                <w:szCs w:val="20"/>
              </w:rPr>
              <w:t>Meets or Exceeds the following Specifications:</w:t>
            </w:r>
          </w:p>
        </w:tc>
      </w:tr>
    </w:tbl>
    <w:p w:rsidR="00C47399" w:rsidRDefault="00C47399" w:rsidP="00C47399">
      <w:pPr>
        <w:pStyle w:val="NoSpacing"/>
        <w:rPr>
          <w:rFonts w:ascii="Century Gothic" w:hAnsi="Century Gothic"/>
          <w:sz w:val="20"/>
          <w:szCs w:val="20"/>
        </w:rPr>
      </w:pPr>
      <w:r>
        <w:rPr>
          <w:rFonts w:ascii="Century Gothic" w:hAnsi="Century Gothic"/>
          <w:sz w:val="20"/>
          <w:szCs w:val="20"/>
        </w:rPr>
        <w:t>SAE J2360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MIL-PRF 2105E</w:t>
      </w:r>
    </w:p>
    <w:p w:rsidR="00C47399" w:rsidRDefault="00C47399" w:rsidP="00C47399">
      <w:pPr>
        <w:pStyle w:val="NoSpacing"/>
        <w:rPr>
          <w:rFonts w:ascii="Century Gothic" w:hAnsi="Century Gothic"/>
          <w:sz w:val="20"/>
          <w:szCs w:val="20"/>
        </w:rPr>
      </w:pPr>
      <w:r>
        <w:rPr>
          <w:rFonts w:ascii="Century Gothic" w:hAnsi="Century Gothic"/>
          <w:sz w:val="20"/>
          <w:szCs w:val="20"/>
        </w:rPr>
        <w:t>API GL-5</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Dana SHAES 429</w:t>
      </w:r>
    </w:p>
    <w:p w:rsidR="00C47399" w:rsidRDefault="00C47399" w:rsidP="00C47399">
      <w:pPr>
        <w:pStyle w:val="NoSpacing"/>
        <w:rPr>
          <w:rFonts w:ascii="Century Gothic" w:hAnsi="Century Gothic"/>
          <w:sz w:val="20"/>
          <w:szCs w:val="20"/>
        </w:rPr>
      </w:pPr>
      <w:r>
        <w:rPr>
          <w:rFonts w:ascii="Century Gothic" w:hAnsi="Century Gothic"/>
          <w:sz w:val="20"/>
          <w:szCs w:val="20"/>
        </w:rPr>
        <w:t>Mack CO-G/S, GO-H/S, GO-J</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DANA SHAES 256 Rev. C</w:t>
      </w:r>
    </w:p>
    <w:p w:rsidR="00C47399" w:rsidRDefault="00C47399" w:rsidP="00C47399">
      <w:pPr>
        <w:pStyle w:val="NoSpacing"/>
        <w:rPr>
          <w:rFonts w:ascii="Century Gothic" w:hAnsi="Century Gothic"/>
          <w:sz w:val="20"/>
          <w:szCs w:val="20"/>
        </w:rPr>
      </w:pPr>
      <w:r>
        <w:rPr>
          <w:rFonts w:ascii="Century Gothic" w:hAnsi="Century Gothic"/>
          <w:sz w:val="20"/>
          <w:szCs w:val="20"/>
        </w:rPr>
        <w:t>Mil-PRF-2105E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International TMS-6816</w:t>
      </w:r>
    </w:p>
    <w:p w:rsidR="00C47399" w:rsidRDefault="00C47399" w:rsidP="00C47399">
      <w:pPr>
        <w:pStyle w:val="NoSpacing"/>
        <w:rPr>
          <w:rFonts w:ascii="Century Gothic" w:hAnsi="Century Gothic"/>
          <w:sz w:val="20"/>
          <w:szCs w:val="20"/>
        </w:rPr>
      </w:pPr>
      <w:r>
        <w:rPr>
          <w:rFonts w:ascii="Century Gothic" w:hAnsi="Century Gothic"/>
          <w:sz w:val="20"/>
          <w:szCs w:val="20"/>
        </w:rPr>
        <w:t>Eaton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ZF TE-ML 05B/16F/21B</w:t>
      </w:r>
    </w:p>
    <w:p w:rsidR="00C47399" w:rsidRDefault="00C47399" w:rsidP="00C47399">
      <w:pPr>
        <w:pStyle w:val="NoSpacing"/>
        <w:rPr>
          <w:rFonts w:ascii="Century Gothic" w:hAnsi="Century Gothic"/>
          <w:sz w:val="20"/>
          <w:szCs w:val="20"/>
        </w:rPr>
      </w:pPr>
      <w:r>
        <w:rPr>
          <w:rFonts w:ascii="Century Gothic" w:hAnsi="Century Gothic"/>
          <w:sz w:val="20"/>
          <w:szCs w:val="20"/>
        </w:rPr>
        <w:t>Arvin Meritor 076-R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MAN 342 </w:t>
      </w:r>
      <w:proofErr w:type="spellStart"/>
      <w:r>
        <w:rPr>
          <w:rFonts w:ascii="Century Gothic" w:hAnsi="Century Gothic"/>
          <w:sz w:val="20"/>
          <w:szCs w:val="20"/>
        </w:rPr>
        <w:t>Typ</w:t>
      </w:r>
      <w:proofErr w:type="spellEnd"/>
      <w:r>
        <w:rPr>
          <w:rFonts w:ascii="Century Gothic" w:hAnsi="Century Gothic"/>
          <w:sz w:val="20"/>
          <w:szCs w:val="20"/>
        </w:rPr>
        <w:t xml:space="preserve"> M2</w:t>
      </w:r>
    </w:p>
    <w:p w:rsidR="00C47399" w:rsidRDefault="00C47399" w:rsidP="00C47399">
      <w:pPr>
        <w:pStyle w:val="NoSpacing"/>
        <w:rPr>
          <w:rFonts w:ascii="Century Gothic" w:hAnsi="Century Gothic"/>
          <w:sz w:val="20"/>
          <w:szCs w:val="20"/>
        </w:rPr>
      </w:pPr>
      <w:r>
        <w:rPr>
          <w:rFonts w:ascii="Century Gothic" w:hAnsi="Century Gothic"/>
          <w:sz w:val="20"/>
          <w:szCs w:val="20"/>
        </w:rPr>
        <w:t>Extreme pressure (EP) performance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Voith</w:t>
      </w:r>
      <w:proofErr w:type="spellEnd"/>
      <w:r>
        <w:rPr>
          <w:rFonts w:ascii="Century Gothic" w:hAnsi="Century Gothic"/>
          <w:sz w:val="20"/>
          <w:szCs w:val="20"/>
        </w:rPr>
        <w:t xml:space="preserve"> </w:t>
      </w:r>
      <w:proofErr w:type="spellStart"/>
      <w:r>
        <w:rPr>
          <w:rFonts w:ascii="Century Gothic" w:hAnsi="Century Gothic"/>
          <w:sz w:val="20"/>
          <w:szCs w:val="20"/>
        </w:rPr>
        <w:t>Tubro</w:t>
      </w:r>
      <w:proofErr w:type="spellEnd"/>
      <w:r>
        <w:rPr>
          <w:rFonts w:ascii="Century Gothic" w:hAnsi="Century Gothic"/>
          <w:sz w:val="20"/>
          <w:szCs w:val="20"/>
        </w:rPr>
        <w:t xml:space="preserve"> 132.00374402</w:t>
      </w:r>
    </w:p>
    <w:p w:rsidR="00C47399" w:rsidRDefault="00C47399" w:rsidP="00C47399">
      <w:pPr>
        <w:pStyle w:val="NoSpacing"/>
        <w:rPr>
          <w:rFonts w:ascii="Century Gothic" w:hAnsi="Century Gothic"/>
          <w:sz w:val="20"/>
          <w:szCs w:val="20"/>
        </w:rPr>
      </w:pPr>
      <w:r>
        <w:rPr>
          <w:rFonts w:ascii="Century Gothic" w:hAnsi="Century Gothic"/>
          <w:sz w:val="20"/>
          <w:szCs w:val="20"/>
        </w:rPr>
        <w:t>Heavy duty truck rear axles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Flender</w:t>
      </w:r>
      <w:proofErr w:type="spellEnd"/>
      <w:r>
        <w:rPr>
          <w:rFonts w:ascii="Century Gothic" w:hAnsi="Century Gothic"/>
          <w:sz w:val="20"/>
          <w:szCs w:val="20"/>
        </w:rPr>
        <w:t xml:space="preserve"> BA 7302 Table R1</w:t>
      </w:r>
    </w:p>
    <w:p w:rsidR="00C47399" w:rsidRDefault="00C47399" w:rsidP="00C47399">
      <w:pPr>
        <w:pStyle w:val="NoSpacing"/>
        <w:rPr>
          <w:rFonts w:ascii="Century Gothic" w:hAnsi="Century Gothic"/>
          <w:sz w:val="20"/>
          <w:szCs w:val="20"/>
        </w:rPr>
      </w:pPr>
      <w:r>
        <w:rPr>
          <w:rFonts w:ascii="Century Gothic" w:hAnsi="Century Gothic"/>
          <w:sz w:val="20"/>
          <w:szCs w:val="20"/>
        </w:rPr>
        <w:t>Domestic automobile rear axles and manual transmissions</w:t>
      </w:r>
      <w:r>
        <w:rPr>
          <w:rFonts w:ascii="Century Gothic" w:hAnsi="Century Gothic"/>
          <w:sz w:val="20"/>
          <w:szCs w:val="20"/>
        </w:rPr>
        <w:tab/>
      </w:r>
      <w:r>
        <w:rPr>
          <w:rFonts w:ascii="Century Gothic" w:hAnsi="Century Gothic"/>
          <w:sz w:val="20"/>
          <w:szCs w:val="20"/>
        </w:rPr>
        <w:tab/>
        <w:t>Scania STO 2:0 A</w:t>
      </w:r>
    </w:p>
    <w:tbl>
      <w:tblPr>
        <w:tblStyle w:val="TableGrid"/>
        <w:tblW w:w="0" w:type="auto"/>
        <w:tblInd w:w="108" w:type="dxa"/>
        <w:tblLook w:val="04A0" w:firstRow="1" w:lastRow="0" w:firstColumn="1" w:lastColumn="0" w:noHBand="0" w:noVBand="1"/>
      </w:tblPr>
      <w:tblGrid>
        <w:gridCol w:w="9360"/>
      </w:tblGrid>
      <w:tr w:rsidR="00C47399" w:rsidTr="00F01C82">
        <w:tc>
          <w:tcPr>
            <w:tcW w:w="9360" w:type="dxa"/>
            <w:tcBorders>
              <w:top w:val="nil"/>
              <w:left w:val="nil"/>
              <w:bottom w:val="nil"/>
              <w:right w:val="nil"/>
            </w:tcBorders>
            <w:shd w:val="clear" w:color="auto" w:fill="FF0000"/>
            <w:hideMark/>
          </w:tcPr>
          <w:p w:rsidR="00C47399" w:rsidRDefault="00C47399">
            <w:pPr>
              <w:pStyle w:val="NoSpacing"/>
              <w:jc w:val="center"/>
              <w:rPr>
                <w:rFonts w:ascii="Century Gothic" w:hAnsi="Century Gothic"/>
                <w:color w:val="FFFFFF" w:themeColor="background1"/>
                <w:sz w:val="20"/>
                <w:szCs w:val="20"/>
              </w:rPr>
            </w:pPr>
            <w:r>
              <w:rPr>
                <w:rFonts w:ascii="Century Gothic" w:hAnsi="Century Gothic"/>
                <w:color w:val="FFFFFF" w:themeColor="background1"/>
                <w:sz w:val="20"/>
                <w:szCs w:val="20"/>
              </w:rPr>
              <w:t>Typical Characteristics:</w:t>
            </w:r>
            <w:bookmarkStart w:id="0" w:name="_GoBack"/>
            <w:bookmarkEnd w:id="0"/>
          </w:p>
        </w:tc>
      </w:tr>
    </w:tbl>
    <w:p w:rsidR="00C47399" w:rsidRDefault="00C47399" w:rsidP="00C47399">
      <w:pPr>
        <w:pStyle w:val="NoSpacing"/>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b/>
          <w:sz w:val="20"/>
          <w:szCs w:val="20"/>
          <w:u w:val="single"/>
        </w:rPr>
        <w:t>75W-90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b/>
          <w:sz w:val="20"/>
          <w:szCs w:val="20"/>
          <w:u w:val="single"/>
        </w:rPr>
        <w:t>80W-140</w:t>
      </w:r>
    </w:p>
    <w:p w:rsidR="00C47399" w:rsidRDefault="00C47399" w:rsidP="00C47399">
      <w:pPr>
        <w:pStyle w:val="NoSpacing"/>
        <w:rPr>
          <w:rFonts w:ascii="Century Gothic" w:hAnsi="Century Gothic"/>
          <w:sz w:val="20"/>
          <w:szCs w:val="20"/>
        </w:rPr>
      </w:pPr>
      <w:r>
        <w:rPr>
          <w:rFonts w:ascii="Century Gothic" w:hAnsi="Century Gothic"/>
          <w:sz w:val="20"/>
          <w:szCs w:val="20"/>
        </w:rPr>
        <w:t>Viscosity, ASTM D 445</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C47399" w:rsidRDefault="00C47399" w:rsidP="00C47399">
      <w:pPr>
        <w:pStyle w:val="NoSpacing"/>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40°C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308</w:t>
      </w:r>
    </w:p>
    <w:p w:rsidR="00C47399" w:rsidRDefault="00C47399" w:rsidP="00C47399">
      <w:pPr>
        <w:pStyle w:val="NoSpacing"/>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100°C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16.0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31.6</w:t>
      </w:r>
    </w:p>
    <w:p w:rsidR="00C47399" w:rsidRDefault="00C47399" w:rsidP="00C47399">
      <w:pPr>
        <w:pStyle w:val="NoSpacing"/>
        <w:rPr>
          <w:rFonts w:ascii="Century Gothic" w:hAnsi="Century Gothic"/>
          <w:sz w:val="20"/>
          <w:szCs w:val="20"/>
        </w:rPr>
      </w:pPr>
      <w:r>
        <w:rPr>
          <w:rFonts w:ascii="Century Gothic" w:hAnsi="Century Gothic"/>
          <w:sz w:val="20"/>
          <w:szCs w:val="20"/>
        </w:rPr>
        <w:t>Viscosity Index, ASTM D 2270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146</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140</w:t>
      </w:r>
    </w:p>
    <w:p w:rsidR="00C47399" w:rsidRDefault="00C47399" w:rsidP="00C47399">
      <w:pPr>
        <w:pStyle w:val="NoSpacing"/>
        <w:rPr>
          <w:rFonts w:ascii="Century Gothic" w:hAnsi="Century Gothic"/>
          <w:sz w:val="20"/>
          <w:szCs w:val="20"/>
        </w:rPr>
      </w:pPr>
      <w:r>
        <w:rPr>
          <w:rFonts w:ascii="Century Gothic" w:hAnsi="Century Gothic"/>
          <w:sz w:val="20"/>
          <w:szCs w:val="20"/>
        </w:rPr>
        <w:t>Pour Point, °C, ASTM D 97</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-49</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-38</w:t>
      </w:r>
    </w:p>
    <w:p w:rsidR="00C47399" w:rsidRDefault="00C47399" w:rsidP="00C47399">
      <w:pPr>
        <w:pStyle w:val="NoSpacing"/>
        <w:rPr>
          <w:rFonts w:ascii="Century Gothic" w:hAnsi="Century Gothic"/>
          <w:sz w:val="20"/>
          <w:szCs w:val="20"/>
        </w:rPr>
      </w:pPr>
      <w:r>
        <w:rPr>
          <w:rFonts w:ascii="Century Gothic" w:hAnsi="Century Gothic"/>
          <w:sz w:val="20"/>
          <w:szCs w:val="20"/>
        </w:rPr>
        <w:t>Flash Point, °C, ASTM D 92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210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214</w:t>
      </w:r>
    </w:p>
    <w:p w:rsidR="00C47399" w:rsidRDefault="00C47399" w:rsidP="00C47399">
      <w:pPr>
        <w:pStyle w:val="NoSpacing"/>
        <w:rPr>
          <w:rFonts w:ascii="Century Gothic" w:hAnsi="Century Gothic"/>
          <w:sz w:val="20"/>
          <w:szCs w:val="20"/>
        </w:rPr>
      </w:pPr>
      <w:r>
        <w:rPr>
          <w:rFonts w:ascii="Century Gothic" w:hAnsi="Century Gothic"/>
          <w:sz w:val="20"/>
          <w:szCs w:val="20"/>
        </w:rPr>
        <w:t>Density @ 15°C kg/l, ASTM D 4052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0.860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0.870</w:t>
      </w:r>
    </w:p>
    <w:p w:rsidR="00C47399" w:rsidRDefault="00C47399" w:rsidP="00C47399">
      <w:pPr>
        <w:pStyle w:val="NoSpacing"/>
        <w:rPr>
          <w:rFonts w:ascii="Century Gothic" w:hAnsi="Century Gothic"/>
          <w:sz w:val="20"/>
          <w:szCs w:val="20"/>
        </w:rPr>
      </w:pPr>
      <w:r>
        <w:rPr>
          <w:rFonts w:ascii="Century Gothic" w:hAnsi="Century Gothic"/>
          <w:sz w:val="20"/>
          <w:szCs w:val="20"/>
        </w:rPr>
        <w:t>Channel Point, °C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Below -70 (94)</w:t>
      </w:r>
    </w:p>
    <w:p w:rsidR="00C47399" w:rsidRDefault="00C47399" w:rsidP="00C47399">
      <w:pPr>
        <w:pStyle w:val="NoSpacing"/>
        <w:rPr>
          <w:rFonts w:ascii="Century Gothic" w:hAnsi="Century Gothic"/>
          <w:sz w:val="20"/>
          <w:szCs w:val="20"/>
        </w:rPr>
      </w:pPr>
      <w:r>
        <w:rPr>
          <w:rFonts w:ascii="Century Gothic" w:hAnsi="Century Gothic"/>
          <w:sz w:val="20"/>
          <w:szCs w:val="20"/>
        </w:rPr>
        <w:t>L-33 (7 Day Moisture Corrosion)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Pass</w:t>
      </w:r>
      <w:proofErr w:type="spellEnd"/>
    </w:p>
    <w:p w:rsidR="00C47399" w:rsidRDefault="00C47399" w:rsidP="00C47399">
      <w:pPr>
        <w:pStyle w:val="NoSpacing"/>
        <w:rPr>
          <w:rFonts w:ascii="Century Gothic" w:hAnsi="Century Gothic"/>
          <w:sz w:val="20"/>
          <w:szCs w:val="20"/>
        </w:rPr>
      </w:pPr>
      <w:r>
        <w:rPr>
          <w:rFonts w:ascii="Century Gothic" w:hAnsi="Century Gothic"/>
          <w:sz w:val="20"/>
          <w:szCs w:val="20"/>
        </w:rPr>
        <w:tab/>
        <w:t>Cover Plate, % Rust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&lt;1% Corrosion </w:t>
      </w:r>
      <w:r>
        <w:rPr>
          <w:rFonts w:ascii="Century Gothic" w:hAnsi="Century Gothic"/>
          <w:sz w:val="20"/>
          <w:szCs w:val="20"/>
        </w:rPr>
        <w:tab/>
      </w:r>
      <w:r>
        <w:rPr>
          <w:rFonts w:ascii="Century Gothic" w:hAnsi="Century Gothic"/>
          <w:sz w:val="20"/>
          <w:szCs w:val="20"/>
        </w:rPr>
        <w:tab/>
        <w:t>&lt;1% Corrosion</w:t>
      </w:r>
      <w:r>
        <w:rPr>
          <w:rFonts w:ascii="Century Gothic" w:hAnsi="Century Gothic"/>
          <w:sz w:val="20"/>
          <w:szCs w:val="20"/>
        </w:rPr>
        <w:tab/>
      </w:r>
    </w:p>
    <w:p w:rsidR="00C47399" w:rsidRDefault="00C47399" w:rsidP="00C47399">
      <w:pPr>
        <w:pStyle w:val="NoSpacing"/>
        <w:rPr>
          <w:rFonts w:ascii="Century Gothic" w:hAnsi="Century Gothic"/>
          <w:sz w:val="20"/>
          <w:szCs w:val="20"/>
        </w:rPr>
      </w:pPr>
      <w:r>
        <w:rPr>
          <w:rFonts w:ascii="Century Gothic" w:hAnsi="Century Gothic"/>
          <w:sz w:val="20"/>
          <w:szCs w:val="20"/>
        </w:rPr>
        <w:t>L-37 (High Torque)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Pass</w:t>
      </w:r>
      <w:proofErr w:type="spellEnd"/>
    </w:p>
    <w:p w:rsidR="00C47399" w:rsidRDefault="00C47399" w:rsidP="00C47399">
      <w:pPr>
        <w:pStyle w:val="NoSpacing"/>
        <w:rPr>
          <w:rFonts w:ascii="Century Gothic" w:hAnsi="Century Gothic"/>
          <w:sz w:val="20"/>
          <w:szCs w:val="20"/>
        </w:rPr>
      </w:pPr>
      <w:r>
        <w:rPr>
          <w:rFonts w:ascii="Century Gothic" w:hAnsi="Century Gothic"/>
          <w:sz w:val="20"/>
          <w:szCs w:val="20"/>
        </w:rPr>
        <w:t>L-42 (High Speed)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Pass</w:t>
      </w:r>
      <w:proofErr w:type="spellEnd"/>
    </w:p>
    <w:p w:rsidR="00C47399" w:rsidRDefault="00C47399" w:rsidP="00C47399">
      <w:pPr>
        <w:pStyle w:val="NoSpacing"/>
        <w:rPr>
          <w:rFonts w:ascii="Century Gothic" w:hAnsi="Century Gothic"/>
          <w:sz w:val="20"/>
          <w:szCs w:val="20"/>
        </w:rPr>
      </w:pPr>
      <w:r>
        <w:rPr>
          <w:rFonts w:ascii="Century Gothic" w:hAnsi="Century Gothic"/>
          <w:sz w:val="20"/>
          <w:szCs w:val="20"/>
        </w:rPr>
        <w:t>L-60 (Thermal Stability)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Pass</w:t>
      </w:r>
      <w:proofErr w:type="spellEnd"/>
    </w:p>
    <w:p w:rsidR="00C47399" w:rsidRDefault="00C47399" w:rsidP="00C47399">
      <w:pPr>
        <w:pStyle w:val="NoSpacing"/>
        <w:rPr>
          <w:rFonts w:ascii="Century Gothic" w:hAnsi="Century Gothic"/>
          <w:sz w:val="20"/>
          <w:szCs w:val="20"/>
        </w:rPr>
      </w:pPr>
      <w:r>
        <w:rPr>
          <w:rFonts w:ascii="Century Gothic" w:hAnsi="Century Gothic"/>
          <w:sz w:val="20"/>
          <w:szCs w:val="20"/>
        </w:rPr>
        <w:t>ASTM D-982 Foam Test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Pass</w:t>
      </w:r>
      <w:proofErr w:type="spellEnd"/>
    </w:p>
    <w:p w:rsidR="00C47399" w:rsidRDefault="00C47399" w:rsidP="00C47399">
      <w:pPr>
        <w:pStyle w:val="NoSpacing"/>
        <w:rPr>
          <w:rFonts w:ascii="Century Gothic" w:hAnsi="Century Gothic"/>
          <w:sz w:val="20"/>
          <w:szCs w:val="20"/>
        </w:rPr>
      </w:pPr>
      <w:r>
        <w:rPr>
          <w:rFonts w:ascii="Century Gothic" w:hAnsi="Century Gothic"/>
          <w:sz w:val="20"/>
          <w:szCs w:val="20"/>
        </w:rPr>
        <w:t>ASTM D-130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 1b</w:t>
      </w:r>
      <w:r>
        <w:rPr>
          <w:rFonts w:ascii="Century Gothic" w:hAnsi="Century Gothic"/>
          <w:sz w:val="20"/>
          <w:szCs w:val="20"/>
        </w:rPr>
        <w:tab/>
      </w:r>
      <w:r>
        <w:rPr>
          <w:rFonts w:ascii="Century Gothic" w:hAnsi="Century Gothic"/>
          <w:sz w:val="20"/>
          <w:szCs w:val="20"/>
        </w:rPr>
        <w:tab/>
        <w:t>Pass 1b</w:t>
      </w:r>
    </w:p>
    <w:p w:rsidR="00C47399" w:rsidRDefault="00C47399" w:rsidP="00C47399">
      <w:pPr>
        <w:pStyle w:val="NoSpacing"/>
        <w:rPr>
          <w:rFonts w:ascii="Century Gothic" w:hAnsi="Century Gothic"/>
          <w:sz w:val="20"/>
          <w:szCs w:val="20"/>
        </w:rPr>
      </w:pPr>
      <w:r>
        <w:rPr>
          <w:rFonts w:ascii="Century Gothic" w:hAnsi="Century Gothic"/>
          <w:sz w:val="20"/>
          <w:szCs w:val="20"/>
        </w:rPr>
        <w:t>FTM 3440 (Stability/Compatibly)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Pass</w:t>
      </w:r>
      <w:proofErr w:type="spellEnd"/>
    </w:p>
    <w:p w:rsidR="00047734" w:rsidRPr="00C47399" w:rsidRDefault="00C47399" w:rsidP="00C47399">
      <w:pPr>
        <w:pStyle w:val="NoSpacing"/>
        <w:rPr>
          <w:rFonts w:ascii="Century Gothic" w:hAnsi="Century Gothic"/>
          <w:sz w:val="20"/>
          <w:szCs w:val="20"/>
        </w:rPr>
      </w:pPr>
      <w:r>
        <w:rPr>
          <w:rFonts w:ascii="Century Gothic" w:hAnsi="Century Gothic"/>
          <w:sz w:val="20"/>
          <w:szCs w:val="20"/>
        </w:rPr>
        <w:t xml:space="preserve">Timken OK Load, </w:t>
      </w:r>
      <w:proofErr w:type="spellStart"/>
      <w:r>
        <w:rPr>
          <w:rFonts w:ascii="Century Gothic" w:hAnsi="Century Gothic"/>
          <w:sz w:val="20"/>
          <w:szCs w:val="20"/>
        </w:rPr>
        <w:t>lb</w:t>
      </w:r>
      <w:proofErr w:type="spellEnd"/>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65</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70</w:t>
      </w:r>
    </w:p>
    <w:sectPr w:rsidR="00047734" w:rsidRPr="00C47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E7" w:rsidRDefault="002E47E7" w:rsidP="00C47399">
      <w:r>
        <w:separator/>
      </w:r>
    </w:p>
  </w:endnote>
  <w:endnote w:type="continuationSeparator" w:id="0">
    <w:p w:rsidR="002E47E7" w:rsidRDefault="002E47E7" w:rsidP="00C4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E7" w:rsidRDefault="002E47E7" w:rsidP="00C47399">
      <w:r>
        <w:separator/>
      </w:r>
    </w:p>
  </w:footnote>
  <w:footnote w:type="continuationSeparator" w:id="0">
    <w:p w:rsidR="002E47E7" w:rsidRDefault="002E47E7" w:rsidP="00C4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99" w:rsidRDefault="000114E7">
    <w:pPr>
      <w:pStyle w:val="Header"/>
    </w:pPr>
    <w:r>
      <w:rPr>
        <w:noProof/>
      </w:rPr>
      <w:drawing>
        <wp:inline distT="0" distB="0" distL="0" distR="0">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99"/>
    <w:rsid w:val="000114E7"/>
    <w:rsid w:val="00047734"/>
    <w:rsid w:val="002E47E7"/>
    <w:rsid w:val="002F31CB"/>
    <w:rsid w:val="004B3508"/>
    <w:rsid w:val="00C47399"/>
    <w:rsid w:val="00F0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399"/>
    <w:pPr>
      <w:spacing w:after="0" w:line="240" w:lineRule="auto"/>
    </w:pPr>
    <w:rPr>
      <w:rFonts w:eastAsiaTheme="minorEastAsia"/>
      <w:sz w:val="24"/>
      <w:szCs w:val="24"/>
    </w:rPr>
  </w:style>
  <w:style w:type="table" w:styleId="TableGrid">
    <w:name w:val="Table Grid"/>
    <w:basedOn w:val="TableNormal"/>
    <w:uiPriority w:val="59"/>
    <w:rsid w:val="00C47399"/>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399"/>
    <w:pPr>
      <w:tabs>
        <w:tab w:val="center" w:pos="4680"/>
        <w:tab w:val="right" w:pos="9360"/>
      </w:tabs>
    </w:pPr>
  </w:style>
  <w:style w:type="character" w:customStyle="1" w:styleId="HeaderChar">
    <w:name w:val="Header Char"/>
    <w:basedOn w:val="DefaultParagraphFont"/>
    <w:link w:val="Header"/>
    <w:uiPriority w:val="99"/>
    <w:rsid w:val="00C47399"/>
    <w:rPr>
      <w:rFonts w:eastAsiaTheme="minorEastAsia"/>
      <w:sz w:val="24"/>
      <w:szCs w:val="24"/>
    </w:rPr>
  </w:style>
  <w:style w:type="paragraph" w:styleId="Footer">
    <w:name w:val="footer"/>
    <w:basedOn w:val="Normal"/>
    <w:link w:val="FooterChar"/>
    <w:uiPriority w:val="99"/>
    <w:unhideWhenUsed/>
    <w:rsid w:val="00C47399"/>
    <w:pPr>
      <w:tabs>
        <w:tab w:val="center" w:pos="4680"/>
        <w:tab w:val="right" w:pos="9360"/>
      </w:tabs>
    </w:pPr>
  </w:style>
  <w:style w:type="character" w:customStyle="1" w:styleId="FooterChar">
    <w:name w:val="Footer Char"/>
    <w:basedOn w:val="DefaultParagraphFont"/>
    <w:link w:val="Footer"/>
    <w:uiPriority w:val="99"/>
    <w:rsid w:val="00C47399"/>
    <w:rPr>
      <w:rFonts w:eastAsiaTheme="minorEastAsia"/>
      <w:sz w:val="24"/>
      <w:szCs w:val="24"/>
    </w:rPr>
  </w:style>
  <w:style w:type="paragraph" w:styleId="BalloonText">
    <w:name w:val="Balloon Text"/>
    <w:basedOn w:val="Normal"/>
    <w:link w:val="BalloonTextChar"/>
    <w:uiPriority w:val="99"/>
    <w:semiHidden/>
    <w:unhideWhenUsed/>
    <w:rsid w:val="00C47399"/>
    <w:rPr>
      <w:rFonts w:ascii="Tahoma" w:hAnsi="Tahoma" w:cs="Tahoma"/>
      <w:sz w:val="16"/>
      <w:szCs w:val="16"/>
    </w:rPr>
  </w:style>
  <w:style w:type="character" w:customStyle="1" w:styleId="BalloonTextChar">
    <w:name w:val="Balloon Text Char"/>
    <w:basedOn w:val="DefaultParagraphFont"/>
    <w:link w:val="BalloonText"/>
    <w:uiPriority w:val="99"/>
    <w:semiHidden/>
    <w:rsid w:val="00C4739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399"/>
    <w:pPr>
      <w:spacing w:after="0" w:line="240" w:lineRule="auto"/>
    </w:pPr>
    <w:rPr>
      <w:rFonts w:eastAsiaTheme="minorEastAsia"/>
      <w:sz w:val="24"/>
      <w:szCs w:val="24"/>
    </w:rPr>
  </w:style>
  <w:style w:type="table" w:styleId="TableGrid">
    <w:name w:val="Table Grid"/>
    <w:basedOn w:val="TableNormal"/>
    <w:uiPriority w:val="59"/>
    <w:rsid w:val="00C47399"/>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399"/>
    <w:pPr>
      <w:tabs>
        <w:tab w:val="center" w:pos="4680"/>
        <w:tab w:val="right" w:pos="9360"/>
      </w:tabs>
    </w:pPr>
  </w:style>
  <w:style w:type="character" w:customStyle="1" w:styleId="HeaderChar">
    <w:name w:val="Header Char"/>
    <w:basedOn w:val="DefaultParagraphFont"/>
    <w:link w:val="Header"/>
    <w:uiPriority w:val="99"/>
    <w:rsid w:val="00C47399"/>
    <w:rPr>
      <w:rFonts w:eastAsiaTheme="minorEastAsia"/>
      <w:sz w:val="24"/>
      <w:szCs w:val="24"/>
    </w:rPr>
  </w:style>
  <w:style w:type="paragraph" w:styleId="Footer">
    <w:name w:val="footer"/>
    <w:basedOn w:val="Normal"/>
    <w:link w:val="FooterChar"/>
    <w:uiPriority w:val="99"/>
    <w:unhideWhenUsed/>
    <w:rsid w:val="00C47399"/>
    <w:pPr>
      <w:tabs>
        <w:tab w:val="center" w:pos="4680"/>
        <w:tab w:val="right" w:pos="9360"/>
      </w:tabs>
    </w:pPr>
  </w:style>
  <w:style w:type="character" w:customStyle="1" w:styleId="FooterChar">
    <w:name w:val="Footer Char"/>
    <w:basedOn w:val="DefaultParagraphFont"/>
    <w:link w:val="Footer"/>
    <w:uiPriority w:val="99"/>
    <w:rsid w:val="00C47399"/>
    <w:rPr>
      <w:rFonts w:eastAsiaTheme="minorEastAsia"/>
      <w:sz w:val="24"/>
      <w:szCs w:val="24"/>
    </w:rPr>
  </w:style>
  <w:style w:type="paragraph" w:styleId="BalloonText">
    <w:name w:val="Balloon Text"/>
    <w:basedOn w:val="Normal"/>
    <w:link w:val="BalloonTextChar"/>
    <w:uiPriority w:val="99"/>
    <w:semiHidden/>
    <w:unhideWhenUsed/>
    <w:rsid w:val="00C47399"/>
    <w:rPr>
      <w:rFonts w:ascii="Tahoma" w:hAnsi="Tahoma" w:cs="Tahoma"/>
      <w:sz w:val="16"/>
      <w:szCs w:val="16"/>
    </w:rPr>
  </w:style>
  <w:style w:type="character" w:customStyle="1" w:styleId="BalloonTextChar">
    <w:name w:val="Balloon Text Char"/>
    <w:basedOn w:val="DefaultParagraphFont"/>
    <w:link w:val="BalloonText"/>
    <w:uiPriority w:val="99"/>
    <w:semiHidden/>
    <w:rsid w:val="00C473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cp:lastModifiedBy>
  <cp:revision>4</cp:revision>
  <dcterms:created xsi:type="dcterms:W3CDTF">2015-04-22T13:48:00Z</dcterms:created>
  <dcterms:modified xsi:type="dcterms:W3CDTF">2016-01-20T15:44:00Z</dcterms:modified>
</cp:coreProperties>
</file>