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0B50" w14:textId="77777777" w:rsidR="003D30D6" w:rsidRDefault="003D30D6" w:rsidP="003D30D6">
      <w:pPr>
        <w:spacing w:after="0" w:line="240" w:lineRule="auto"/>
        <w:rPr>
          <w:rFonts w:ascii="Century Gothic" w:eastAsia="Times New Roman" w:hAnsi="Century Gothic" w:cs="Times New Roman"/>
          <w:b/>
          <w:bCs/>
          <w:sz w:val="24"/>
          <w:szCs w:val="24"/>
        </w:rPr>
      </w:pPr>
    </w:p>
    <w:p w14:paraId="54DAF632" w14:textId="77777777" w:rsidR="003D30D6" w:rsidRDefault="003D30D6" w:rsidP="003D30D6">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 xml:space="preserve">Safety Data Sheet: </w:t>
      </w:r>
      <w:r w:rsidR="00807362">
        <w:rPr>
          <w:rFonts w:ascii="Century Gothic" w:eastAsia="Times New Roman" w:hAnsi="Century Gothic" w:cs="Times New Roman"/>
          <w:b/>
          <w:bCs/>
          <w:sz w:val="24"/>
          <w:szCs w:val="24"/>
        </w:rPr>
        <w:t xml:space="preserve">Signal Tech </w:t>
      </w:r>
      <w:r w:rsidR="007B3C7C">
        <w:rPr>
          <w:rFonts w:ascii="Century Gothic" w:eastAsia="Times New Roman" w:hAnsi="Century Gothic" w:cs="Times New Roman"/>
          <w:b/>
          <w:bCs/>
          <w:sz w:val="24"/>
          <w:szCs w:val="24"/>
        </w:rPr>
        <w:t>EP 320</w:t>
      </w:r>
    </w:p>
    <w:p w14:paraId="6F23B8D9" w14:textId="0DF80715" w:rsidR="003D30D6" w:rsidRDefault="003D30D6" w:rsidP="003D30D6">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331EE4">
        <w:rPr>
          <w:rFonts w:ascii="Century Gothic" w:eastAsia="Times New Roman" w:hAnsi="Century Gothic" w:cs="Times New Roman"/>
          <w:b/>
          <w:bCs/>
          <w:color w:val="030303"/>
          <w:sz w:val="24"/>
          <w:szCs w:val="24"/>
        </w:rPr>
        <w:t>January 2</w:t>
      </w:r>
      <w:r w:rsidR="00331EE4">
        <w:rPr>
          <w:rFonts w:ascii="Century Gothic" w:eastAsia="Times New Roman" w:hAnsi="Century Gothic" w:cs="Times New Roman"/>
          <w:b/>
          <w:bCs/>
          <w:color w:val="030303"/>
          <w:sz w:val="24"/>
          <w:szCs w:val="24"/>
          <w:vertAlign w:val="superscript"/>
        </w:rPr>
        <w:t>nd</w:t>
      </w:r>
      <w:r w:rsidR="00331EE4">
        <w:rPr>
          <w:rFonts w:ascii="Century Gothic" w:eastAsia="Times New Roman" w:hAnsi="Century Gothic" w:cs="Times New Roman"/>
          <w:b/>
          <w:bCs/>
          <w:color w:val="030303"/>
          <w:sz w:val="24"/>
          <w:szCs w:val="24"/>
        </w:rPr>
        <w:t xml:space="preserve"> 20</w:t>
      </w:r>
      <w:r w:rsidR="003A2B60">
        <w:rPr>
          <w:rFonts w:ascii="Century Gothic" w:eastAsia="Times New Roman" w:hAnsi="Century Gothic" w:cs="Times New Roman"/>
          <w:b/>
          <w:bCs/>
          <w:color w:val="030303"/>
          <w:sz w:val="24"/>
          <w:szCs w:val="24"/>
        </w:rPr>
        <w:t>2</w:t>
      </w:r>
      <w:r w:rsidR="00897CE0">
        <w:rPr>
          <w:rFonts w:ascii="Century Gothic" w:eastAsia="Times New Roman" w:hAnsi="Century Gothic" w:cs="Times New Roman"/>
          <w:b/>
          <w:bCs/>
          <w:color w:val="030303"/>
          <w:sz w:val="24"/>
          <w:szCs w:val="24"/>
        </w:rPr>
        <w:t>2</w:t>
      </w:r>
    </w:p>
    <w:p w14:paraId="4877511F" w14:textId="77777777" w:rsidR="003D30D6" w:rsidRDefault="003D30D6" w:rsidP="003D30D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D30D6" w14:paraId="74377952" w14:textId="77777777" w:rsidTr="00401CF0">
        <w:tc>
          <w:tcPr>
            <w:tcW w:w="9468" w:type="dxa"/>
            <w:tcBorders>
              <w:top w:val="nil"/>
              <w:left w:val="nil"/>
              <w:bottom w:val="nil"/>
              <w:right w:val="nil"/>
            </w:tcBorders>
            <w:shd w:val="clear" w:color="auto" w:fill="FF0000"/>
            <w:tcMar>
              <w:top w:w="0" w:type="dxa"/>
              <w:left w:w="108" w:type="dxa"/>
              <w:bottom w:w="0" w:type="dxa"/>
              <w:right w:w="108" w:type="dxa"/>
            </w:tcMar>
            <w:hideMark/>
          </w:tcPr>
          <w:p w14:paraId="246FE882" w14:textId="77777777" w:rsidR="003D30D6" w:rsidRDefault="003D30D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0F36448A"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FF01E74"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807362">
        <w:rPr>
          <w:rFonts w:ascii="Century Gothic" w:eastAsiaTheme="minorEastAsia" w:hAnsi="Century Gothic"/>
          <w:sz w:val="24"/>
          <w:szCs w:val="24"/>
        </w:rPr>
        <w:t xml:space="preserve">Signal Tech </w:t>
      </w:r>
      <w:r w:rsidR="00401CF0">
        <w:rPr>
          <w:rFonts w:ascii="Century Gothic" w:eastAsiaTheme="minorEastAsia" w:hAnsi="Century Gothic"/>
          <w:sz w:val="24"/>
          <w:szCs w:val="24"/>
        </w:rPr>
        <w:t>EP 320</w:t>
      </w:r>
    </w:p>
    <w:p w14:paraId="29CD0416"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w:t>
      </w:r>
      <w:r w:rsidR="00807362">
        <w:rPr>
          <w:rFonts w:ascii="Century Gothic" w:eastAsiaTheme="minorEastAsia" w:hAnsi="Century Gothic"/>
          <w:sz w:val="24"/>
          <w:szCs w:val="24"/>
        </w:rPr>
        <w:t xml:space="preserve">Synthetic base stocks and additives </w:t>
      </w:r>
    </w:p>
    <w:p w14:paraId="39227F75"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w:t>
      </w:r>
      <w:r w:rsidR="00807362">
        <w:rPr>
          <w:rFonts w:ascii="Century Gothic" w:eastAsiaTheme="minorEastAsia" w:hAnsi="Century Gothic"/>
          <w:sz w:val="24"/>
          <w:szCs w:val="24"/>
        </w:rPr>
        <w:t>Gear Oil</w:t>
      </w:r>
    </w:p>
    <w:p w14:paraId="7B807F92" w14:textId="77777777" w:rsidR="003D30D6" w:rsidRDefault="003D30D6" w:rsidP="003D30D6">
      <w:pPr>
        <w:spacing w:after="0" w:line="240" w:lineRule="auto"/>
        <w:rPr>
          <w:rFonts w:ascii="Century Gothic" w:eastAsiaTheme="minorEastAsia" w:hAnsi="Century Gothic"/>
          <w:sz w:val="24"/>
          <w:szCs w:val="24"/>
        </w:rPr>
      </w:pPr>
    </w:p>
    <w:p w14:paraId="0BAAFC9A"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39A95D76"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31735694"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30CD3605"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4B9E37E1" w14:textId="77777777" w:rsidR="003D30D6" w:rsidRDefault="003D30D6" w:rsidP="003D30D6">
      <w:pPr>
        <w:spacing w:after="0" w:line="240" w:lineRule="auto"/>
        <w:rPr>
          <w:rFonts w:ascii="Century Gothic" w:eastAsiaTheme="minorEastAsia" w:hAnsi="Century Gothic"/>
          <w:sz w:val="24"/>
          <w:szCs w:val="24"/>
        </w:rPr>
      </w:pPr>
    </w:p>
    <w:p w14:paraId="0FD29952"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1D508574" w14:textId="77777777" w:rsidR="00401CF0" w:rsidRDefault="009C1D6F" w:rsidP="003D30D6">
      <w:pPr>
        <w:spacing w:after="0" w:line="240" w:lineRule="auto"/>
        <w:rPr>
          <w:rFonts w:ascii="Century Gothic" w:eastAsiaTheme="minorEastAsia" w:hAnsi="Century Gothic"/>
          <w:sz w:val="24"/>
          <w:szCs w:val="24"/>
        </w:rPr>
      </w:pPr>
      <w:r w:rsidRPr="009C1D6F">
        <w:rPr>
          <w:rFonts w:ascii="Century Gothic" w:eastAsiaTheme="minorEastAsia" w:hAnsi="Century Gothic"/>
          <w:b/>
          <w:sz w:val="24"/>
          <w:szCs w:val="24"/>
        </w:rPr>
        <w:t>Website:</w:t>
      </w:r>
      <w:r w:rsidR="00401CF0">
        <w:rPr>
          <w:rFonts w:ascii="Century Gothic" w:eastAsiaTheme="minorEastAsia" w:hAnsi="Century Gothic"/>
          <w:sz w:val="24"/>
          <w:szCs w:val="24"/>
        </w:rPr>
        <w:t xml:space="preserve"> www.beaconlubricants.com</w:t>
      </w:r>
    </w:p>
    <w:p w14:paraId="351C827E" w14:textId="77777777" w:rsidR="003D30D6" w:rsidRDefault="003D30D6" w:rsidP="003D30D6">
      <w:pPr>
        <w:spacing w:after="24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D30D6" w14:paraId="6517A441" w14:textId="77777777" w:rsidTr="00401CF0">
        <w:tc>
          <w:tcPr>
            <w:tcW w:w="9468" w:type="dxa"/>
            <w:tcBorders>
              <w:top w:val="nil"/>
              <w:left w:val="nil"/>
              <w:bottom w:val="nil"/>
              <w:right w:val="nil"/>
            </w:tcBorders>
            <w:shd w:val="clear" w:color="auto" w:fill="FF0000"/>
            <w:tcMar>
              <w:top w:w="0" w:type="dxa"/>
              <w:left w:w="108" w:type="dxa"/>
              <w:bottom w:w="0" w:type="dxa"/>
              <w:right w:w="108" w:type="dxa"/>
            </w:tcMar>
            <w:hideMark/>
          </w:tcPr>
          <w:p w14:paraId="21C6DCF7"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5705381D" w14:textId="77777777" w:rsidR="003D30D6" w:rsidRDefault="003D30D6" w:rsidP="003D30D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EB6F8E">
        <w:rPr>
          <w:rFonts w:ascii="Century Gothic" w:eastAsia="Times New Roman" w:hAnsi="Century Gothic" w:cs="Times New Roman"/>
          <w:sz w:val="24"/>
          <w:szCs w:val="24"/>
        </w:rPr>
        <w:t xml:space="preserve">not </w:t>
      </w:r>
      <w:r>
        <w:rPr>
          <w:rFonts w:ascii="Century Gothic" w:eastAsia="Times New Roman" w:hAnsi="Century Gothic" w:cs="Times New Roman"/>
          <w:sz w:val="24"/>
          <w:szCs w:val="24"/>
        </w:rPr>
        <w:t>hazardous according to regulatory guidelines (M)SDS Section 15)</w:t>
      </w:r>
    </w:p>
    <w:p w14:paraId="7E469CF4" w14:textId="77777777" w:rsidR="003D30D6" w:rsidRDefault="003D30D6" w:rsidP="003D30D6">
      <w:pPr>
        <w:spacing w:after="0" w:line="240" w:lineRule="auto"/>
        <w:rPr>
          <w:rFonts w:ascii="Century Gothic" w:eastAsia="Times New Roman" w:hAnsi="Century Gothic" w:cs="Helvetica"/>
          <w:sz w:val="24"/>
          <w:szCs w:val="24"/>
        </w:rPr>
      </w:pPr>
    </w:p>
    <w:p w14:paraId="76003679"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0136A74A" w14:textId="77777777" w:rsidR="003D30D6" w:rsidRDefault="003D30D6" w:rsidP="003D30D6">
      <w:pPr>
        <w:spacing w:after="0" w:line="240" w:lineRule="auto"/>
        <w:rPr>
          <w:rFonts w:ascii="Century Gothic" w:eastAsia="Times New Roman" w:hAnsi="Century Gothic" w:cs="Helvetica"/>
          <w:sz w:val="24"/>
          <w:szCs w:val="24"/>
        </w:rPr>
      </w:pPr>
    </w:p>
    <w:p w14:paraId="28BC6194"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w:t>
      </w:r>
      <w:r w:rsidR="00EB6F8E">
        <w:rPr>
          <w:rFonts w:ascii="Century Gothic" w:eastAsia="Times New Roman" w:hAnsi="Century Gothic" w:cs="Helvetica"/>
          <w:sz w:val="24"/>
          <w:szCs w:val="24"/>
        </w:rPr>
        <w:t xml:space="preserve">Excessive exposure may result in eye, skin, or respiratory irritation.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sidR="00EB6F8E">
        <w:rPr>
          <w:rFonts w:ascii="Century Gothic" w:eastAsia="Times New Roman" w:hAnsi="Century Gothic" w:cs="Helvetica"/>
          <w:sz w:val="24"/>
          <w:szCs w:val="24"/>
        </w:rPr>
        <w:t xml:space="preserve"> Health:    0</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sidR="00EB6F8E">
        <w:rPr>
          <w:rFonts w:ascii="Century Gothic" w:eastAsia="Times New Roman" w:hAnsi="Century Gothic" w:cs="Helvetica"/>
          <w:sz w:val="24"/>
          <w:szCs w:val="24"/>
        </w:rPr>
        <w:t xml:space="preserve"> Health:   0</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D30D6" w14:paraId="1778767A" w14:textId="77777777" w:rsidTr="00401CF0">
        <w:tc>
          <w:tcPr>
            <w:tcW w:w="9468" w:type="dxa"/>
            <w:tcBorders>
              <w:top w:val="nil"/>
              <w:left w:val="nil"/>
              <w:bottom w:val="nil"/>
              <w:right w:val="nil"/>
            </w:tcBorders>
            <w:shd w:val="clear" w:color="auto" w:fill="FF0000"/>
            <w:tcMar>
              <w:top w:w="0" w:type="dxa"/>
              <w:left w:w="108" w:type="dxa"/>
              <w:bottom w:w="0" w:type="dxa"/>
              <w:right w:w="108" w:type="dxa"/>
            </w:tcMar>
            <w:hideMark/>
          </w:tcPr>
          <w:p w14:paraId="5DF83E3C"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w:t>
            </w:r>
            <w:r w:rsidR="00401CF0">
              <w:rPr>
                <w:rFonts w:ascii="Century Gothic" w:eastAsia="Times New Roman" w:hAnsi="Century Gothic" w:cs="Times New Roman"/>
                <w:bCs/>
                <w:color w:val="FFFFFF" w:themeColor="background1"/>
                <w:sz w:val="24"/>
                <w:szCs w:val="24"/>
              </w:rPr>
              <w:t xml:space="preserve">                              </w:t>
            </w:r>
            <w:r>
              <w:rPr>
                <w:rFonts w:ascii="Century Gothic" w:eastAsia="Times New Roman" w:hAnsi="Century Gothic" w:cs="Times New Roman"/>
                <w:bCs/>
                <w:color w:val="FFFFFF" w:themeColor="background1"/>
                <w:sz w:val="24"/>
                <w:szCs w:val="24"/>
              </w:rPr>
              <w:t>COMPOSITION / INFORMATION ON INGREDIENTS</w:t>
            </w:r>
          </w:p>
        </w:tc>
      </w:tr>
    </w:tbl>
    <w:p w14:paraId="0365ED0F" w14:textId="77777777" w:rsidR="003D30D6" w:rsidRDefault="003D30D6" w:rsidP="003D30D6">
      <w:pPr>
        <w:spacing w:after="0" w:line="240" w:lineRule="auto"/>
        <w:rPr>
          <w:rFonts w:ascii="Century Gothic" w:eastAsia="Times New Roman" w:hAnsi="Century Gothic" w:cs="Helvetica"/>
          <w:sz w:val="24"/>
          <w:szCs w:val="24"/>
        </w:rPr>
      </w:pPr>
    </w:p>
    <w:p w14:paraId="7843F78B"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834"/>
        <w:gridCol w:w="2177"/>
        <w:gridCol w:w="2338"/>
        <w:gridCol w:w="2119"/>
      </w:tblGrid>
      <w:tr w:rsidR="003D30D6" w14:paraId="0F249546" w14:textId="77777777" w:rsidTr="00401CF0">
        <w:tc>
          <w:tcPr>
            <w:tcW w:w="2834" w:type="dxa"/>
            <w:tcBorders>
              <w:top w:val="single" w:sz="4" w:space="0" w:color="auto"/>
              <w:left w:val="single" w:sz="4" w:space="0" w:color="auto"/>
              <w:bottom w:val="single" w:sz="4" w:space="0" w:color="auto"/>
              <w:right w:val="single" w:sz="4" w:space="0" w:color="auto"/>
            </w:tcBorders>
            <w:hideMark/>
          </w:tcPr>
          <w:p w14:paraId="627C77F2" w14:textId="77777777" w:rsidR="003D30D6" w:rsidRDefault="003D30D6">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2177" w:type="dxa"/>
            <w:tcBorders>
              <w:top w:val="single" w:sz="4" w:space="0" w:color="auto"/>
              <w:left w:val="single" w:sz="4" w:space="0" w:color="auto"/>
              <w:bottom w:val="single" w:sz="4" w:space="0" w:color="auto"/>
              <w:right w:val="single" w:sz="4" w:space="0" w:color="auto"/>
            </w:tcBorders>
            <w:hideMark/>
          </w:tcPr>
          <w:p w14:paraId="5C1260D8" w14:textId="77777777" w:rsidR="003D30D6" w:rsidRDefault="003D30D6">
            <w:pPr>
              <w:rPr>
                <w:rFonts w:ascii="Century Gothic" w:eastAsia="Times New Roman" w:hAnsi="Century Gothic" w:cs="Helvetica"/>
                <w:b/>
                <w:sz w:val="24"/>
                <w:szCs w:val="24"/>
              </w:rPr>
            </w:pPr>
            <w:r>
              <w:rPr>
                <w:rFonts w:ascii="Century Gothic" w:eastAsia="Times New Roman" w:hAnsi="Century Gothic" w:cs="Helvetica"/>
                <w:b/>
                <w:sz w:val="24"/>
                <w:szCs w:val="24"/>
              </w:rPr>
              <w:t>CAS#</w:t>
            </w:r>
          </w:p>
        </w:tc>
        <w:tc>
          <w:tcPr>
            <w:tcW w:w="2338" w:type="dxa"/>
            <w:tcBorders>
              <w:top w:val="single" w:sz="4" w:space="0" w:color="auto"/>
              <w:left w:val="single" w:sz="4" w:space="0" w:color="auto"/>
              <w:bottom w:val="single" w:sz="4" w:space="0" w:color="auto"/>
              <w:right w:val="single" w:sz="4" w:space="0" w:color="auto"/>
            </w:tcBorders>
            <w:hideMark/>
          </w:tcPr>
          <w:p w14:paraId="481A27D1" w14:textId="77777777" w:rsidR="003D30D6" w:rsidRDefault="003D30D6">
            <w:pPr>
              <w:rPr>
                <w:rFonts w:ascii="Century Gothic" w:eastAsia="Times New Roman" w:hAnsi="Century Gothic" w:cs="Helvetica"/>
                <w:b/>
                <w:sz w:val="24"/>
                <w:szCs w:val="24"/>
              </w:rPr>
            </w:pPr>
            <w:r>
              <w:rPr>
                <w:rFonts w:ascii="Century Gothic" w:eastAsia="Times New Roman" w:hAnsi="Century Gothic" w:cs="Helvetica"/>
                <w:b/>
                <w:sz w:val="24"/>
                <w:szCs w:val="24"/>
              </w:rPr>
              <w:t>Concentration*</w:t>
            </w:r>
          </w:p>
        </w:tc>
        <w:tc>
          <w:tcPr>
            <w:tcW w:w="2119" w:type="dxa"/>
            <w:tcBorders>
              <w:top w:val="single" w:sz="4" w:space="0" w:color="auto"/>
              <w:left w:val="single" w:sz="4" w:space="0" w:color="auto"/>
              <w:bottom w:val="single" w:sz="4" w:space="0" w:color="auto"/>
              <w:right w:val="single" w:sz="4" w:space="0" w:color="auto"/>
            </w:tcBorders>
            <w:hideMark/>
          </w:tcPr>
          <w:p w14:paraId="2E76659A" w14:textId="77777777" w:rsidR="003D30D6" w:rsidRDefault="003D30D6">
            <w:pPr>
              <w:rPr>
                <w:rFonts w:ascii="Century Gothic" w:eastAsia="Times New Roman" w:hAnsi="Century Gothic" w:cs="Helvetica"/>
                <w:b/>
                <w:sz w:val="24"/>
                <w:szCs w:val="24"/>
              </w:rPr>
            </w:pPr>
            <w:r>
              <w:rPr>
                <w:rFonts w:ascii="Century Gothic" w:eastAsia="Times New Roman" w:hAnsi="Century Gothic" w:cs="Helvetica"/>
                <w:b/>
                <w:sz w:val="24"/>
                <w:szCs w:val="24"/>
              </w:rPr>
              <w:t>GHS HAZARD CODES</w:t>
            </w:r>
          </w:p>
        </w:tc>
      </w:tr>
      <w:tr w:rsidR="003D30D6" w14:paraId="51C43FD7" w14:textId="77777777" w:rsidTr="00401CF0">
        <w:tc>
          <w:tcPr>
            <w:tcW w:w="2834" w:type="dxa"/>
            <w:tcBorders>
              <w:top w:val="single" w:sz="4" w:space="0" w:color="auto"/>
              <w:left w:val="single" w:sz="4" w:space="0" w:color="auto"/>
              <w:bottom w:val="single" w:sz="4" w:space="0" w:color="auto"/>
              <w:right w:val="single" w:sz="4" w:space="0" w:color="auto"/>
            </w:tcBorders>
            <w:hideMark/>
          </w:tcPr>
          <w:p w14:paraId="097F471F" w14:textId="77777777" w:rsidR="003D30D6" w:rsidRDefault="00F42778">
            <w:pPr>
              <w:rPr>
                <w:rFonts w:ascii="Century Gothic" w:eastAsia="Times New Roman" w:hAnsi="Century Gothic" w:cs="Helvetica"/>
                <w:sz w:val="24"/>
                <w:szCs w:val="24"/>
              </w:rPr>
            </w:pPr>
            <w:r>
              <w:rPr>
                <w:rFonts w:ascii="Century Gothic" w:eastAsia="Times New Roman" w:hAnsi="Century Gothic" w:cs="Helvetica"/>
                <w:sz w:val="24"/>
                <w:szCs w:val="24"/>
              </w:rPr>
              <w:t>TRIPHENYL PHOSPHOROTHIONATE</w:t>
            </w:r>
          </w:p>
        </w:tc>
        <w:tc>
          <w:tcPr>
            <w:tcW w:w="2177" w:type="dxa"/>
            <w:tcBorders>
              <w:top w:val="single" w:sz="4" w:space="0" w:color="auto"/>
              <w:left w:val="single" w:sz="4" w:space="0" w:color="auto"/>
              <w:bottom w:val="single" w:sz="4" w:space="0" w:color="auto"/>
              <w:right w:val="single" w:sz="4" w:space="0" w:color="auto"/>
            </w:tcBorders>
            <w:hideMark/>
          </w:tcPr>
          <w:p w14:paraId="72D81593" w14:textId="77777777" w:rsidR="003D30D6" w:rsidRDefault="00F42778">
            <w:pPr>
              <w:rPr>
                <w:rFonts w:ascii="Century Gothic" w:eastAsia="Times New Roman" w:hAnsi="Century Gothic" w:cs="Helvetica"/>
                <w:sz w:val="24"/>
                <w:szCs w:val="24"/>
              </w:rPr>
            </w:pPr>
            <w:r>
              <w:rPr>
                <w:rFonts w:ascii="Century Gothic" w:eastAsia="Times New Roman" w:hAnsi="Century Gothic" w:cs="Helvetica"/>
                <w:sz w:val="24"/>
                <w:szCs w:val="24"/>
              </w:rPr>
              <w:t>597-82-0</w:t>
            </w:r>
          </w:p>
        </w:tc>
        <w:tc>
          <w:tcPr>
            <w:tcW w:w="2338" w:type="dxa"/>
            <w:tcBorders>
              <w:top w:val="single" w:sz="4" w:space="0" w:color="auto"/>
              <w:left w:val="single" w:sz="4" w:space="0" w:color="auto"/>
              <w:bottom w:val="single" w:sz="4" w:space="0" w:color="auto"/>
              <w:right w:val="single" w:sz="4" w:space="0" w:color="auto"/>
            </w:tcBorders>
            <w:hideMark/>
          </w:tcPr>
          <w:p w14:paraId="66C093C6" w14:textId="77777777" w:rsidR="003D30D6" w:rsidRDefault="00F42778">
            <w:pPr>
              <w:rPr>
                <w:rFonts w:ascii="Century Gothic" w:eastAsia="Times New Roman" w:hAnsi="Century Gothic" w:cs="Helvetica"/>
                <w:sz w:val="24"/>
                <w:szCs w:val="24"/>
              </w:rPr>
            </w:pPr>
            <w:r>
              <w:rPr>
                <w:rFonts w:ascii="Century Gothic" w:eastAsia="Times New Roman" w:hAnsi="Century Gothic" w:cs="Helvetica"/>
                <w:sz w:val="24"/>
                <w:szCs w:val="24"/>
              </w:rPr>
              <w:t>0.1 - &lt; 1%</w:t>
            </w:r>
          </w:p>
        </w:tc>
        <w:tc>
          <w:tcPr>
            <w:tcW w:w="2119" w:type="dxa"/>
            <w:tcBorders>
              <w:top w:val="single" w:sz="4" w:space="0" w:color="auto"/>
              <w:left w:val="single" w:sz="4" w:space="0" w:color="auto"/>
              <w:bottom w:val="single" w:sz="4" w:space="0" w:color="auto"/>
              <w:right w:val="single" w:sz="4" w:space="0" w:color="auto"/>
            </w:tcBorders>
            <w:hideMark/>
          </w:tcPr>
          <w:p w14:paraId="04F1F803" w14:textId="77777777" w:rsidR="003D30D6" w:rsidRDefault="00F42778">
            <w:pPr>
              <w:rPr>
                <w:rFonts w:ascii="Century Gothic" w:eastAsia="Times New Roman" w:hAnsi="Century Gothic" w:cs="Helvetica"/>
                <w:sz w:val="24"/>
                <w:szCs w:val="24"/>
              </w:rPr>
            </w:pPr>
            <w:r>
              <w:rPr>
                <w:rFonts w:ascii="Century Gothic" w:eastAsia="Times New Roman" w:hAnsi="Century Gothic" w:cs="Helvetica"/>
                <w:sz w:val="24"/>
                <w:szCs w:val="24"/>
              </w:rPr>
              <w:t>H361(D), H361(F), H402, H412</w:t>
            </w:r>
          </w:p>
        </w:tc>
      </w:tr>
    </w:tbl>
    <w:p w14:paraId="70D1F025" w14:textId="77777777" w:rsidR="003D30D6" w:rsidRDefault="003D30D6" w:rsidP="003D30D6">
      <w:pPr>
        <w:spacing w:after="0" w:line="240" w:lineRule="auto"/>
        <w:rPr>
          <w:rFonts w:ascii="Century Gothic" w:eastAsia="Times New Roman" w:hAnsi="Century Gothic" w:cs="Helvetica"/>
          <w:sz w:val="24"/>
          <w:szCs w:val="24"/>
        </w:rPr>
      </w:pPr>
    </w:p>
    <w:p w14:paraId="40F6C1DD"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w:t>
      </w:r>
      <w:r w:rsidR="003B25A2">
        <w:rPr>
          <w:rFonts w:ascii="Century Gothic" w:eastAsia="Times New Roman" w:hAnsi="Century Gothic" w:cs="Helvetica"/>
          <w:sz w:val="24"/>
          <w:szCs w:val="24"/>
        </w:rPr>
        <w:t>ial is a gas. Gas concentration</w:t>
      </w:r>
      <w:r w:rsidR="00067FE2">
        <w:rPr>
          <w:rFonts w:ascii="Century Gothic" w:eastAsia="Times New Roman" w:hAnsi="Century Gothic" w:cs="Helvetica"/>
          <w:sz w:val="24"/>
          <w:szCs w:val="24"/>
        </w:rPr>
        <w:t xml:space="preserve"> </w:t>
      </w:r>
      <w:r>
        <w:rPr>
          <w:rFonts w:ascii="Century Gothic" w:eastAsia="Times New Roman" w:hAnsi="Century Gothic" w:cs="Helvetica"/>
          <w:sz w:val="24"/>
          <w:szCs w:val="24"/>
        </w:rPr>
        <w:t>are in the percent by volume. </w:t>
      </w:r>
    </w:p>
    <w:p w14:paraId="55781007" w14:textId="77777777" w:rsidR="003D30D6" w:rsidRDefault="003D30D6" w:rsidP="003D30D6">
      <w:pPr>
        <w:spacing w:after="0" w:line="240" w:lineRule="auto"/>
        <w:rPr>
          <w:rFonts w:ascii="Century Gothic" w:eastAsia="Times New Roman" w:hAnsi="Century Gothic" w:cs="Helvetica"/>
          <w:sz w:val="24"/>
          <w:szCs w:val="24"/>
        </w:rPr>
      </w:pPr>
    </w:p>
    <w:p w14:paraId="7A0BC716"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0E1A26F" w14:textId="77777777" w:rsidR="003D30D6" w:rsidRDefault="003D30D6" w:rsidP="003D30D6">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2927189A"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5B215783"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5BE7A7E2"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F42778">
        <w:rPr>
          <w:rFonts w:ascii="Century Gothic" w:eastAsia="Times New Roman" w:hAnsi="Century Gothic" w:cs="Helvetica"/>
          <w:sz w:val="24"/>
          <w:szCs w:val="24"/>
        </w:rPr>
        <w:t>Remove</w:t>
      </w:r>
      <w:r>
        <w:rPr>
          <w:rFonts w:ascii="Century Gothic" w:eastAsia="Times New Roman" w:hAnsi="Century Gothic" w:cs="Helvetica"/>
          <w:sz w:val="24"/>
          <w:szCs w:val="24"/>
        </w:rPr>
        <w:t xml:space="preserve"> from further exposure. For those providing assistance, avoid exposure to yourself or others. Use adequate respiratory protection. </w:t>
      </w:r>
      <w:r w:rsidR="00F42778">
        <w:rPr>
          <w:rFonts w:ascii="Century Gothic" w:eastAsia="Times New Roman" w:hAnsi="Century Gothic" w:cs="Helvetica"/>
          <w:sz w:val="24"/>
          <w:szCs w:val="24"/>
        </w:rPr>
        <w:t xml:space="preserve">If respiratory irritation, dizziness, nausea, or unconsciousness occurs, seek immediate medical assistance. If breathing has stopped, assist ventilation with a mechanical </w:t>
      </w:r>
      <w:r w:rsidR="00F62CD2">
        <w:rPr>
          <w:rFonts w:ascii="Century Gothic" w:eastAsia="Times New Roman" w:hAnsi="Century Gothic" w:cs="Helvetica"/>
          <w:sz w:val="24"/>
          <w:szCs w:val="24"/>
        </w:rPr>
        <w:t xml:space="preserve">device or use mouth-to-mouth resuscitation.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r>
      <w:r w:rsidR="00F62CD2">
        <w:rPr>
          <w:rFonts w:ascii="Century Gothic" w:eastAsia="Times New Roman" w:hAnsi="Century Gothic" w:cs="Helvetica"/>
          <w:sz w:val="24"/>
          <w:szCs w:val="24"/>
        </w:rPr>
        <w:t>First aid is normally not required. Seek medical attention if discomfort occurs.</w:t>
      </w:r>
    </w:p>
    <w:p w14:paraId="61205E12"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D30D6" w14:paraId="083C4635"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31C5B1A1"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0B5E1522"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sidR="00F62CD2">
        <w:rPr>
          <w:rFonts w:ascii="Century Gothic" w:eastAsia="Times New Roman" w:hAnsi="Century Gothic" w:cs="Helvetica"/>
          <w:sz w:val="24"/>
          <w:szCs w:val="24"/>
        </w:rPr>
        <w:t xml:space="preserve">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F62CD2">
        <w:rPr>
          <w:rFonts w:ascii="Century Gothic" w:eastAsia="Times New Roman" w:hAnsi="Century Gothic" w:cs="Helvetica"/>
          <w:sz w:val="24"/>
          <w:szCs w:val="24"/>
        </w:rPr>
        <w:t xml:space="preserve">Evacuate area. </w:t>
      </w:r>
      <w:r>
        <w:rPr>
          <w:rFonts w:ascii="Century Gothic" w:eastAsia="Times New Roman" w:hAnsi="Century Gothic" w:cs="Helvetica"/>
          <w:sz w:val="24"/>
          <w:szCs w:val="24"/>
        </w:rPr>
        <w:t>Prevent runoff from fire control or dilution from entering streams, sewers, or drinking water supply. </w:t>
      </w:r>
      <w:r w:rsidR="00EB6F8E">
        <w:rPr>
          <w:rFonts w:ascii="Century Gothic" w:eastAsia="Times New Roman" w:hAnsi="Century Gothic" w:cs="Helvetica"/>
          <w:sz w:val="24"/>
          <w:szCs w:val="24"/>
        </w:rPr>
        <w:t xml:space="preserve"> Fire-fighters should use standard protective equipment and in enclosed spaces, self-contained breathing apparatus (SCBA). Use water spray to cool fire exposed surfaces and to protect personnel.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sidR="00F62CD2">
        <w:rPr>
          <w:rFonts w:ascii="Century Gothic" w:eastAsia="Times New Roman" w:hAnsi="Century Gothic" w:cs="Helvetica"/>
          <w:sz w:val="24"/>
          <w:szCs w:val="24"/>
        </w:rPr>
        <w:t xml:space="preserve"> &gt;226°C (439°F) [ASTM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sidR="00F62CD2">
        <w:rPr>
          <w:rFonts w:ascii="Century Gothic" w:eastAsia="Times New Roman" w:hAnsi="Century Gothic" w:cs="Helvetica"/>
          <w:sz w:val="24"/>
          <w:szCs w:val="24"/>
        </w:rPr>
        <w:t>: LEL: 0.9 UEL: 7.0</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F62CD2">
        <w:rPr>
          <w:rFonts w:ascii="Century Gothic" w:eastAsia="Times New Roman" w:hAnsi="Century Gothic" w:cs="Helvetica"/>
          <w:sz w:val="24"/>
          <w:szCs w:val="24"/>
        </w:rPr>
        <w:t>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1FD78D34"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335D5D78"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2B50B7BE"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Avoid</w:t>
      </w:r>
      <w:r w:rsidR="00B4318E">
        <w:rPr>
          <w:rFonts w:ascii="Century Gothic" w:eastAsia="Times New Roman" w:hAnsi="Century Gothic" w:cs="Helvetica"/>
          <w:sz w:val="24"/>
          <w:szCs w:val="24"/>
        </w:rPr>
        <w:t xml:space="preserve"> contact with spilled material. </w:t>
      </w:r>
      <w:r>
        <w:rPr>
          <w:rFonts w:ascii="Century Gothic" w:eastAsia="Times New Roman" w:hAnsi="Century Gothic" w:cs="Helvetica"/>
          <w:sz w:val="24"/>
          <w:szCs w:val="24"/>
        </w:rPr>
        <w:t xml:space="preserve">See Section 5 for firefighting information. See </w:t>
      </w:r>
      <w:r>
        <w:rPr>
          <w:rFonts w:ascii="Century Gothic" w:eastAsia="Times New Roman" w:hAnsi="Century Gothic" w:cs="Helvetica"/>
          <w:sz w:val="24"/>
          <w:szCs w:val="24"/>
        </w:rPr>
        <w:lastRenderedPageBreak/>
        <w:t>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Recover by pumping or with suitable absorbent.</w:t>
      </w:r>
    </w:p>
    <w:p w14:paraId="52A5C22C"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Stop leak if you can do it with</w:t>
      </w:r>
      <w:r w:rsidR="00466537">
        <w:rPr>
          <w:rFonts w:ascii="Century Gothic" w:eastAsia="Times New Roman" w:hAnsi="Century Gothic" w:cs="Helvetica"/>
          <w:sz w:val="24"/>
          <w:szCs w:val="24"/>
        </w:rPr>
        <w:t xml:space="preserve">out risk. </w:t>
      </w:r>
      <w:r w:rsidR="00DF1939">
        <w:rPr>
          <w:rFonts w:ascii="Century Gothic" w:eastAsia="Times New Roman" w:hAnsi="Century Gothic" w:cs="Helvetica"/>
          <w:sz w:val="24"/>
          <w:szCs w:val="24"/>
        </w:rPr>
        <w:t xml:space="preserve">Confine the spill immediately with booms. Warn other shipping. Remove from the surface by skimming or with suitable absorbents. Seek the advice of specialist before using dispersants.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DF1939">
        <w:rPr>
          <w:rFonts w:ascii="Century Gothic" w:eastAsia="Times New Roman" w:hAnsi="Century Gothic" w:cs="Helvetica"/>
          <w:sz w:val="24"/>
          <w:szCs w:val="24"/>
        </w:rPr>
        <w:t xml:space="preserve">Large Spills: Dik far ahead of liquid spill for later recovery and disposal. Prevent entry into waterways, sewers, basements or confined areas. </w:t>
      </w:r>
      <w:r>
        <w:rPr>
          <w:rFonts w:ascii="Century Gothic" w:eastAsia="Times New Roman" w:hAnsi="Century Gothic" w:cs="Helvetica"/>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58F9D173"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3C16FD22"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02E5094A"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27A20D90" w14:textId="77777777" w:rsidR="003D30D6" w:rsidRDefault="00DF1939"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Prevent small spills and leakage to avoid slip hazards. Material can accumulate static charges which may cause an electrical spark (ignition source). When the material is handled in bulk, an electoral spark could ignite any flammable vapors from liquids or residues that may be present (e.g., during switch-loading </w:t>
      </w:r>
      <w:r w:rsidR="00004885">
        <w:rPr>
          <w:rFonts w:ascii="Century Gothic" w:eastAsia="Times New Roman" w:hAnsi="Century Gothic" w:cs="Helvetica"/>
          <w:sz w:val="24"/>
          <w:szCs w:val="24"/>
        </w:rPr>
        <w:t xml:space="preserve">operations). Use proper bonding and/or ground procedures. However, bonding and grounds may not eliminate </w:t>
      </w:r>
      <w:r w:rsidR="00B45FDD">
        <w:rPr>
          <w:rFonts w:ascii="Century Gothic" w:eastAsia="Times New Roman" w:hAnsi="Century Gothic" w:cs="Helvetica"/>
          <w:sz w:val="24"/>
          <w:szCs w:val="24"/>
        </w:rPr>
        <w:t xml:space="preserve">the hazard from static accumulation. Consult local applicable standards for guidance. Additional references include American Petroleum Institute 2003 (Protection Against Ignition Arising out of Static, Lightning and Stray Currents) or National Fire Protection Agency 77 (Recommended Practice on Static Electricity) or CENELEC CLC/TR 50404 (Electrostatics – Code of practice for the avoidance of hazards dude to static electricity). </w:t>
      </w:r>
    </w:p>
    <w:p w14:paraId="0EEF1134" w14:textId="77777777" w:rsidR="003D30D6" w:rsidRDefault="003D30D6" w:rsidP="003D30D6">
      <w:pPr>
        <w:spacing w:after="260" w:line="240" w:lineRule="auto"/>
        <w:rPr>
          <w:rFonts w:ascii="Century Gothic" w:eastAsia="Times New Roman" w:hAnsi="Century Gothic"/>
        </w:rPr>
      </w:pPr>
      <w:r>
        <w:rPr>
          <w:rFonts w:ascii="Century Gothic" w:eastAsia="Times New Roman" w:hAnsi="Century Gothic"/>
        </w:rPr>
        <w:lastRenderedPageBreak/>
        <w:br/>
      </w:r>
      <w:r>
        <w:rPr>
          <w:rFonts w:ascii="Century Gothic" w:eastAsia="Times New Roman" w:hAnsi="Century Gothic"/>
          <w:b/>
          <w:bCs/>
        </w:rPr>
        <w:t>Static Accumulator:</w:t>
      </w:r>
      <w:r>
        <w:rPr>
          <w:rFonts w:ascii="Century Gothic" w:eastAsia="Times New Roman" w:hAnsi="Century Gothic"/>
        </w:rPr>
        <w:t xml:space="preserve"> This material is a static accumulator. </w:t>
      </w:r>
    </w:p>
    <w:p w14:paraId="0473B1BD"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rPr>
        <w:t xml:space="preserve"> </w:t>
      </w:r>
      <w:r>
        <w:rPr>
          <w:rFonts w:ascii="Century Gothic" w:eastAsia="Times New Roman" w:hAnsi="Century Gothic"/>
        </w:rPr>
        <w:br/>
      </w:r>
      <w:r>
        <w:rPr>
          <w:rFonts w:ascii="Century Gothic" w:eastAsia="Times New Roman" w:hAnsi="Century Gothic"/>
          <w:b/>
          <w:bCs/>
        </w:rPr>
        <w:t>STORAGE:</w:t>
      </w:r>
      <w:r>
        <w:rPr>
          <w:rFonts w:ascii="Century Gothic" w:eastAsia="Times New Roman" w:hAnsi="Century Gothic"/>
          <w:bCs/>
        </w:rPr>
        <w:br/>
      </w:r>
      <w:r w:rsidR="00B45FDD">
        <w:rPr>
          <w:rFonts w:ascii="Century Gothic" w:eastAsia="Times New Roman" w:hAnsi="Century Gothic"/>
        </w:rPr>
        <w:t xml:space="preserve">The container choice, for example storage vessel, may effect static accumulation and dissipation. Do not store in open or unlabeled containers. </w:t>
      </w:r>
      <w:r>
        <w:rPr>
          <w:rFonts w:ascii="Century Gothic" w:eastAsia="Times New Roman" w:hAnsi="Century Gothic"/>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08ADA863"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65765BD3"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0921A5AD" w14:textId="77777777" w:rsidR="003D30D6" w:rsidRDefault="003D30D6" w:rsidP="003D30D6">
      <w:pPr>
        <w:spacing w:after="0" w:line="240" w:lineRule="auto"/>
        <w:rPr>
          <w:rFonts w:ascii="Century Gothic" w:eastAsia="Times New Roman" w:hAnsi="Century Gothic" w:cs="Helvetica"/>
          <w:sz w:val="24"/>
          <w:szCs w:val="24"/>
        </w:rPr>
      </w:pPr>
    </w:p>
    <w:p w14:paraId="6ADD8ACD" w14:textId="77777777" w:rsidR="003D30D6" w:rsidRDefault="00B45FDD"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 xml:space="preserve">Exposure limits/standards for material that can be formed when handling this product: </w:t>
      </w:r>
      <w:r w:rsidRPr="00B45FDD">
        <w:rPr>
          <w:rFonts w:ascii="Century Gothic" w:eastAsia="Times New Roman" w:hAnsi="Century Gothic" w:cs="Helvetica"/>
          <w:bCs/>
          <w:sz w:val="24"/>
          <w:szCs w:val="24"/>
        </w:rPr>
        <w:t>When mists/aerosols can occur the following are recommended: 5 mg/3 – ACGIH TLV (inhalable fraction), 5 mg/m3 – OSHA PEL</w:t>
      </w:r>
    </w:p>
    <w:p w14:paraId="5022DA13" w14:textId="77777777" w:rsidR="003D30D6" w:rsidRDefault="003D30D6" w:rsidP="003D30D6">
      <w:pPr>
        <w:spacing w:after="0" w:line="240" w:lineRule="auto"/>
        <w:rPr>
          <w:rFonts w:ascii="Century Gothic" w:eastAsia="Times New Roman" w:hAnsi="Century Gothic" w:cs="Helvetica"/>
          <w:sz w:val="24"/>
          <w:szCs w:val="24"/>
        </w:rPr>
      </w:pPr>
    </w:p>
    <w:p w14:paraId="6414F1A1"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t>
      </w:r>
      <w:r>
        <w:rPr>
          <w:rFonts w:ascii="Century Gothic" w:eastAsia="Times New Roman" w:hAnsi="Century Gothic" w:cs="Helvetica"/>
          <w:sz w:val="24"/>
          <w:szCs w:val="24"/>
        </w:rPr>
        <w:lastRenderedPageBreak/>
        <w:t>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12868874"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452A0630"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4E2D913F"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783C3347" w14:textId="77777777" w:rsidR="003D30D6" w:rsidRDefault="003D30D6" w:rsidP="003D30D6">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88834D0" w14:textId="77777777" w:rsidR="003D30D6" w:rsidRDefault="003D30D6" w:rsidP="003D30D6">
      <w:pPr>
        <w:spacing w:after="0" w:line="240" w:lineRule="auto"/>
        <w:rPr>
          <w:rFonts w:ascii="Century Gothic" w:eastAsiaTheme="minorEastAsia" w:hAnsi="Century Gothic"/>
          <w:sz w:val="24"/>
          <w:szCs w:val="24"/>
        </w:rPr>
      </w:pPr>
    </w:p>
    <w:p w14:paraId="5C5ED984"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3DCB8182"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433428ED"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7B3C7C">
        <w:rPr>
          <w:rFonts w:ascii="Century Gothic" w:eastAsiaTheme="minorEastAsia" w:hAnsi="Century Gothic"/>
          <w:sz w:val="24"/>
          <w:szCs w:val="24"/>
        </w:rPr>
        <w:t>Amber</w:t>
      </w:r>
    </w:p>
    <w:p w14:paraId="4312D7A0"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w:t>
      </w:r>
    </w:p>
    <w:p w14:paraId="44E6F290"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6AF44531" w14:textId="77777777" w:rsidR="003D30D6" w:rsidRDefault="003D30D6" w:rsidP="003D30D6">
      <w:pPr>
        <w:spacing w:after="0" w:line="240" w:lineRule="auto"/>
        <w:rPr>
          <w:rFonts w:ascii="Century Gothic" w:eastAsiaTheme="minorEastAsia" w:hAnsi="Century Gothic"/>
          <w:sz w:val="24"/>
          <w:szCs w:val="24"/>
        </w:rPr>
      </w:pPr>
    </w:p>
    <w:p w14:paraId="380F628F"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4144E83B" w14:textId="77777777" w:rsidR="003D30D6" w:rsidRDefault="003D30D6" w:rsidP="003D30D6">
      <w:pPr>
        <w:spacing w:after="0" w:line="240" w:lineRule="auto"/>
        <w:rPr>
          <w:rFonts w:ascii="Century Gothic" w:eastAsiaTheme="minorEastAsia" w:hAnsi="Century Gothic"/>
          <w:sz w:val="24"/>
          <w:szCs w:val="24"/>
        </w:rPr>
      </w:pPr>
    </w:p>
    <w:p w14:paraId="0B8E08F0"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w:t>
      </w:r>
      <w:r w:rsidR="00401CF0">
        <w:rPr>
          <w:rFonts w:ascii="Century Gothic" w:eastAsiaTheme="minorEastAsia" w:hAnsi="Century Gothic"/>
          <w:sz w:val="24"/>
          <w:szCs w:val="24"/>
        </w:rPr>
        <w:t>0867</w:t>
      </w:r>
    </w:p>
    <w:p w14:paraId="62F98912"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1A0C65FC"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w:t>
      </w:r>
      <w:r w:rsidR="00401CF0">
        <w:rPr>
          <w:rFonts w:ascii="Century Gothic" w:eastAsiaTheme="minorEastAsia" w:hAnsi="Century Gothic"/>
          <w:sz w:val="24"/>
          <w:szCs w:val="24"/>
        </w:rPr>
        <w:t>&gt;210°C (410</w:t>
      </w:r>
      <w:r w:rsidR="00277C51">
        <w:rPr>
          <w:rFonts w:ascii="Century Gothic" w:eastAsiaTheme="minorEastAsia" w:hAnsi="Century Gothic"/>
          <w:sz w:val="24"/>
          <w:szCs w:val="24"/>
        </w:rPr>
        <w:t>°F) [ASTM D-92]</w:t>
      </w:r>
    </w:p>
    <w:p w14:paraId="68B14458"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 xml:space="preserve">LEL: </w:t>
      </w:r>
      <w:r w:rsidR="00277C51">
        <w:rPr>
          <w:rFonts w:ascii="Century Gothic" w:eastAsiaTheme="minorEastAsia" w:hAnsi="Century Gothic"/>
          <w:sz w:val="24"/>
          <w:szCs w:val="24"/>
        </w:rPr>
        <w:t>0.9</w:t>
      </w:r>
      <w:r>
        <w:rPr>
          <w:rFonts w:ascii="Century Gothic" w:eastAsiaTheme="minorEastAsia" w:hAnsi="Century Gothic"/>
          <w:sz w:val="24"/>
          <w:szCs w:val="24"/>
        </w:rPr>
        <w:t xml:space="preserve">  UEL: </w:t>
      </w:r>
      <w:r w:rsidR="00277C51">
        <w:rPr>
          <w:rFonts w:ascii="Century Gothic" w:eastAsiaTheme="minorEastAsia" w:hAnsi="Century Gothic"/>
          <w:sz w:val="24"/>
          <w:szCs w:val="24"/>
        </w:rPr>
        <w:t>7.0</w:t>
      </w:r>
    </w:p>
    <w:p w14:paraId="7397CEF7"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sidR="00277C51">
        <w:rPr>
          <w:rFonts w:ascii="Century Gothic" w:eastAsiaTheme="minorEastAsia" w:hAnsi="Century Gothic"/>
          <w:b/>
          <w:sz w:val="24"/>
          <w:szCs w:val="24"/>
        </w:rPr>
        <w:t xml:space="preserve">: </w:t>
      </w:r>
      <w:r w:rsidR="00277C51" w:rsidRPr="00277C51">
        <w:rPr>
          <w:rFonts w:ascii="Century Gothic" w:eastAsiaTheme="minorEastAsia" w:hAnsi="Century Gothic"/>
          <w:sz w:val="24"/>
          <w:szCs w:val="24"/>
        </w:rPr>
        <w:t>N/D</w:t>
      </w:r>
    </w:p>
    <w:p w14:paraId="21EBC242"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w:t>
      </w:r>
      <w:r w:rsidR="00277C51">
        <w:rPr>
          <w:rFonts w:ascii="Century Gothic" w:eastAsiaTheme="minorEastAsia" w:hAnsi="Century Gothic"/>
          <w:sz w:val="24"/>
          <w:szCs w:val="24"/>
        </w:rPr>
        <w:t>&gt; 2 at kPa [estimated]</w:t>
      </w:r>
    </w:p>
    <w:p w14:paraId="6C882070" w14:textId="77777777" w:rsidR="003D30D6" w:rsidRDefault="003D30D6" w:rsidP="003D30D6">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3D5146F3"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721B9F3B"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277C51">
        <w:rPr>
          <w:rFonts w:ascii="Century Gothic" w:eastAsiaTheme="minorEastAsia" w:hAnsi="Century Gothic"/>
          <w:sz w:val="24"/>
          <w:szCs w:val="24"/>
        </w:rPr>
        <w:t>N/A</w:t>
      </w:r>
    </w:p>
    <w:p w14:paraId="28B89B2A"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w:t>
      </w:r>
      <w:r w:rsidR="00277C51">
        <w:rPr>
          <w:rFonts w:ascii="Century Gothic" w:eastAsiaTheme="minorEastAsia" w:hAnsi="Century Gothic"/>
          <w:sz w:val="24"/>
          <w:szCs w:val="24"/>
        </w:rPr>
        <w:t>&gt; 3.5 [estimated]</w:t>
      </w:r>
    </w:p>
    <w:p w14:paraId="4D255021"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w:t>
      </w:r>
      <w:r w:rsidR="00277C51">
        <w:rPr>
          <w:rFonts w:ascii="Century Gothic" w:eastAsiaTheme="minorEastAsia" w:hAnsi="Century Gothic"/>
          <w:sz w:val="24"/>
          <w:szCs w:val="24"/>
        </w:rPr>
        <w:t>Negligible</w:t>
      </w:r>
    </w:p>
    <w:p w14:paraId="2B7FF2D5"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401CF0">
        <w:rPr>
          <w:rFonts w:ascii="Century Gothic" w:eastAsiaTheme="minorEastAsia" w:hAnsi="Century Gothic"/>
          <w:sz w:val="24"/>
          <w:szCs w:val="24"/>
        </w:rPr>
        <w:t>&gt;320</w:t>
      </w:r>
      <w:r w:rsidR="00277C51">
        <w:rPr>
          <w:rFonts w:ascii="Century Gothic" w:eastAsiaTheme="minorEastAsia" w:hAnsi="Century Gothic"/>
          <w:sz w:val="24"/>
          <w:szCs w:val="24"/>
        </w:rPr>
        <w:t xml:space="preserve"> cSt (</w:t>
      </w:r>
      <w:r w:rsidR="00401CF0">
        <w:rPr>
          <w:rFonts w:ascii="Century Gothic" w:eastAsiaTheme="minorEastAsia" w:hAnsi="Century Gothic"/>
          <w:sz w:val="24"/>
          <w:szCs w:val="24"/>
        </w:rPr>
        <w:t>320</w:t>
      </w:r>
      <w:r w:rsidR="00277C51">
        <w:rPr>
          <w:rFonts w:ascii="Century Gothic" w:eastAsiaTheme="minorEastAsia" w:hAnsi="Century Gothic"/>
          <w:sz w:val="24"/>
          <w:szCs w:val="24"/>
        </w:rPr>
        <w:t xml:space="preserve"> mm2/sec) at 40 </w:t>
      </w:r>
      <w:r w:rsidR="009C6EAF">
        <w:rPr>
          <w:rFonts w:ascii="Century Gothic" w:eastAsiaTheme="minorEastAsia" w:hAnsi="Century Gothic"/>
          <w:sz w:val="24"/>
          <w:szCs w:val="24"/>
        </w:rPr>
        <w:t xml:space="preserve">°C | </w:t>
      </w:r>
      <w:r w:rsidR="00401CF0">
        <w:rPr>
          <w:rFonts w:ascii="Century Gothic" w:eastAsiaTheme="minorEastAsia" w:hAnsi="Century Gothic"/>
          <w:sz w:val="24"/>
          <w:szCs w:val="24"/>
        </w:rPr>
        <w:t>38</w:t>
      </w:r>
      <w:r w:rsidR="009C6EAF">
        <w:rPr>
          <w:rFonts w:ascii="Century Gothic" w:eastAsiaTheme="minorEastAsia" w:hAnsi="Century Gothic"/>
          <w:sz w:val="24"/>
          <w:szCs w:val="24"/>
        </w:rPr>
        <w:t xml:space="preserve"> cSt (</w:t>
      </w:r>
      <w:r w:rsidR="00401CF0">
        <w:rPr>
          <w:rFonts w:ascii="Century Gothic" w:eastAsiaTheme="minorEastAsia" w:hAnsi="Century Gothic"/>
          <w:sz w:val="24"/>
          <w:szCs w:val="24"/>
        </w:rPr>
        <w:t>38</w:t>
      </w:r>
      <w:r w:rsidR="009C6EAF">
        <w:rPr>
          <w:rFonts w:ascii="Century Gothic" w:eastAsiaTheme="minorEastAsia" w:hAnsi="Century Gothic"/>
          <w:sz w:val="24"/>
          <w:szCs w:val="24"/>
        </w:rPr>
        <w:t xml:space="preserve"> mm2/sec) at 100°C</w:t>
      </w:r>
      <w:r>
        <w:rPr>
          <w:rFonts w:ascii="Century Gothic" w:eastAsiaTheme="minorEastAsia" w:hAnsi="Century Gothic"/>
          <w:sz w:val="24"/>
          <w:szCs w:val="24"/>
        </w:rPr>
        <w:t xml:space="preserve"> </w:t>
      </w:r>
    </w:p>
    <w:p w14:paraId="66939DFB"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Oxidizing Properties: </w:t>
      </w:r>
      <w:r>
        <w:rPr>
          <w:rFonts w:ascii="Century Gothic" w:eastAsiaTheme="minorEastAsia" w:hAnsi="Century Gothic"/>
          <w:sz w:val="24"/>
          <w:szCs w:val="24"/>
        </w:rPr>
        <w:t>See Hazards Identification Section.</w:t>
      </w:r>
    </w:p>
    <w:p w14:paraId="4820A6C3" w14:textId="77777777" w:rsidR="003D30D6" w:rsidRDefault="003D30D6" w:rsidP="003D30D6">
      <w:pPr>
        <w:spacing w:after="0" w:line="240" w:lineRule="auto"/>
        <w:rPr>
          <w:rFonts w:ascii="Century Gothic" w:eastAsiaTheme="minorEastAsia" w:hAnsi="Century Gothic"/>
          <w:sz w:val="24"/>
          <w:szCs w:val="24"/>
        </w:rPr>
      </w:pPr>
    </w:p>
    <w:p w14:paraId="27AA54FE" w14:textId="77777777" w:rsidR="003D30D6" w:rsidRDefault="003D30D6" w:rsidP="003D30D6">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4C8B590F"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Pr>
          <w:rFonts w:ascii="Century Gothic" w:eastAsiaTheme="minorEastAsia" w:hAnsi="Century Gothic"/>
          <w:sz w:val="24"/>
          <w:szCs w:val="24"/>
        </w:rPr>
        <w:t xml:space="preserve"> </w:t>
      </w:r>
      <w:r w:rsidR="009C6EAF">
        <w:rPr>
          <w:rFonts w:ascii="Century Gothic" w:eastAsiaTheme="minorEastAsia" w:hAnsi="Century Gothic"/>
          <w:sz w:val="24"/>
          <w:szCs w:val="24"/>
        </w:rPr>
        <w:t>N/D</w:t>
      </w:r>
    </w:p>
    <w:p w14:paraId="18E4648D" w14:textId="77777777" w:rsidR="003D30D6" w:rsidRDefault="003D30D6" w:rsidP="003D30D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N/D</w:t>
      </w:r>
    </w:p>
    <w:p w14:paraId="0CF22F5F" w14:textId="77777777" w:rsidR="009C6EAF" w:rsidRDefault="009C6EAF" w:rsidP="003D30D6">
      <w:pPr>
        <w:spacing w:after="0" w:line="240" w:lineRule="auto"/>
        <w:rPr>
          <w:rFonts w:ascii="Century Gothic" w:eastAsiaTheme="minorEastAsia" w:hAnsi="Century Gothic"/>
          <w:sz w:val="24"/>
          <w:szCs w:val="24"/>
        </w:rPr>
      </w:pPr>
      <w:r w:rsidRPr="009C6EAF">
        <w:rPr>
          <w:rFonts w:ascii="Century Gothic" w:eastAsiaTheme="minorEastAsia" w:hAnsi="Century Gothic"/>
          <w:b/>
          <w:sz w:val="24"/>
          <w:szCs w:val="24"/>
        </w:rPr>
        <w:t>Pour Point:</w:t>
      </w:r>
      <w:r w:rsidR="00401CF0">
        <w:rPr>
          <w:rFonts w:ascii="Century Gothic" w:eastAsiaTheme="minorEastAsia" w:hAnsi="Century Gothic"/>
          <w:sz w:val="24"/>
          <w:szCs w:val="24"/>
        </w:rPr>
        <w:t xml:space="preserve"> -33° (27</w:t>
      </w:r>
      <w:r>
        <w:rPr>
          <w:rFonts w:ascii="Century Gothic" w:eastAsiaTheme="minorEastAsia" w:hAnsi="Century Gothic"/>
          <w:sz w:val="24"/>
          <w:szCs w:val="24"/>
        </w:rPr>
        <w:t>°F)</w:t>
      </w:r>
    </w:p>
    <w:p w14:paraId="42100130" w14:textId="77777777" w:rsidR="003D30D6" w:rsidRDefault="003D30D6" w:rsidP="003D30D6">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5BC4C124"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7B0A78AF"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26326DC1"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3206A95D"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77A93943"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449C2F86"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Ind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2"/>
        <w:gridCol w:w="4678"/>
      </w:tblGrid>
      <w:tr w:rsidR="003D30D6" w14:paraId="471AE729" w14:textId="77777777" w:rsidTr="00401CF0">
        <w:tc>
          <w:tcPr>
            <w:tcW w:w="4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8003F"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E3F31"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3D30D6" w14:paraId="430E97E0"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2D7C0"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Inhalation</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9BBC202"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37D64EE9"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53B5A"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222B067"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3D30D6" w14:paraId="4CA4747D"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E2546"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5508C61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3D30D6" w14:paraId="77FB2C53"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5BD3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908F711"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784B3171"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0749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2E5E295"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8322F3E"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6C031857"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4A6AC"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86B009B"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76039B70"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9C03C"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FE096BC"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3D30D6" w14:paraId="720B7736"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EFC2C"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53CCC76D"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3D30D6" w14:paraId="248F86F1"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951EC"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5DF89596"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58C18DE9"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89129"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225A1EB"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3D30D6" w14:paraId="7A5FF1D7"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DFFCF"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5AFB6BB5"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1803AAC6"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DC54F"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A173972"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3D30D6" w14:paraId="33147A83"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B380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2C617D66"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3D30D6" w14:paraId="6F753007"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CBFDE"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05497E0B"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3D30D6" w14:paraId="79AC7DB8"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7A0B"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5C1701CA"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3D30D6" w14:paraId="488F3483"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FE5CA"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EFF7098"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3D30D6" w14:paraId="53172BA3"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E4F65"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398AC4F"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3D30D6" w14:paraId="169727DD"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1FD5B"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0917089"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3D30D6" w14:paraId="73FF7FDE"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118EF"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98665E3"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D30D6" w14:paraId="60016E5A"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94FA7"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AD171A4"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3D30D6" w14:paraId="350AC70C" w14:textId="77777777" w:rsidTr="00401CF0">
        <w:tc>
          <w:tcPr>
            <w:tcW w:w="4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3615E"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0EB117D" w14:textId="77777777" w:rsidR="003D30D6" w:rsidRDefault="003D30D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7982DAA4" w14:textId="77777777" w:rsidR="003D30D6" w:rsidRDefault="003D30D6" w:rsidP="003D30D6">
      <w:pPr>
        <w:spacing w:after="0" w:line="240" w:lineRule="auto"/>
        <w:rPr>
          <w:rFonts w:ascii="Century Gothic" w:eastAsia="Times New Roman" w:hAnsi="Century Gothic" w:cs="Helvetica"/>
          <w:b/>
          <w:sz w:val="24"/>
          <w:szCs w:val="24"/>
        </w:rPr>
      </w:pPr>
    </w:p>
    <w:p w14:paraId="2C0ACA21"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34F913E7"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sidR="009C6EAF">
        <w:rPr>
          <w:rFonts w:ascii="Century Gothic" w:eastAsia="Times New Roman" w:hAnsi="Century Gothic" w:cs="Helvetica"/>
          <w:sz w:val="24"/>
          <w:szCs w:val="24"/>
        </w:rPr>
        <w:t>Repeated and/or prolonged exposure may cause irritation to the skin, eyes, or respiratory tract.</w:t>
      </w:r>
    </w:p>
    <w:p w14:paraId="527D5C6F" w14:textId="77777777" w:rsidR="003D30D6" w:rsidRDefault="003D30D6" w:rsidP="003D30D6">
      <w:pPr>
        <w:spacing w:after="0" w:line="240" w:lineRule="auto"/>
        <w:rPr>
          <w:rFonts w:ascii="Century Gothic" w:eastAsia="Times New Roman" w:hAnsi="Century Gothic" w:cs="Helvetica"/>
          <w:sz w:val="24"/>
          <w:szCs w:val="24"/>
        </w:rPr>
      </w:pPr>
    </w:p>
    <w:p w14:paraId="2E4FEE29" w14:textId="77777777" w:rsidR="003D30D6" w:rsidRDefault="003D30D6" w:rsidP="003D30D6">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Contains:</w:t>
      </w:r>
    </w:p>
    <w:p w14:paraId="4B705A95" w14:textId="77777777" w:rsidR="003D30D6" w:rsidRDefault="009C6EAF"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Synthetic base oils: Not expected to cause significant health effects under conditions of normal use, based on laboratory studies with the same or similar materials. Not mutagenic or genotoxic. Not sensitizing in test animals and humans. Aryl thiophosphate: Effects on the liver, adrenals, thyroid, blood and reproductive organs were seen in rats after repeated oral gavage at high doses. In a reproduction/developmental toxicity screening study, repeated oral gavage of rats with the aryl thiophosphate at high doses that produced maternal toxicity resulted in littler loss, decreased number of implantation sites and decreased number of live pups. However, when the aryl thiophosphate was tested in a subsequent, identical reproduction/developmental screening study in rats at a concentration higher than in this lubricant product, there were no reproductive/developmental effects or maternal toxicity.  </w:t>
      </w:r>
    </w:p>
    <w:p w14:paraId="304FEF1B" w14:textId="77777777" w:rsidR="003D30D6" w:rsidRDefault="003D30D6" w:rsidP="003D30D6">
      <w:pPr>
        <w:spacing w:after="0" w:line="240" w:lineRule="auto"/>
        <w:rPr>
          <w:rFonts w:ascii="Century Gothic" w:eastAsia="Times New Roman" w:hAnsi="Century Gothic" w:cs="Helvetica"/>
          <w:sz w:val="24"/>
          <w:szCs w:val="24"/>
        </w:rPr>
      </w:pPr>
    </w:p>
    <w:p w14:paraId="0594A4A5"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0255A468"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327D0C82"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2A90E0B5"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130938B4" w14:textId="77777777" w:rsidR="003D30D6" w:rsidRDefault="003D30D6" w:rsidP="003D30D6">
      <w:pPr>
        <w:spacing w:after="0" w:line="240" w:lineRule="auto"/>
        <w:rPr>
          <w:rFonts w:ascii="Century Gothic" w:eastAsia="Times New Roman" w:hAnsi="Century Gothic" w:cs="Helvetica"/>
          <w:sz w:val="24"/>
          <w:szCs w:val="24"/>
        </w:rPr>
      </w:pPr>
    </w:p>
    <w:p w14:paraId="63D11DAA" w14:textId="77777777" w:rsidR="003D30D6" w:rsidRDefault="003D30D6" w:rsidP="003D30D6">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MOBILITY</w:t>
      </w:r>
    </w:p>
    <w:p w14:paraId="686BFF83" w14:textId="77777777" w:rsidR="003D30D6" w:rsidRDefault="0001230F" w:rsidP="0001230F">
      <w:pPr>
        <w:spacing w:after="0" w:line="240" w:lineRule="auto"/>
        <w:rPr>
          <w:rFonts w:ascii="Century Gothic" w:eastAsia="Times New Roman" w:hAnsi="Century Gothic" w:cs="Helvetica"/>
          <w:b/>
          <w:sz w:val="24"/>
          <w:szCs w:val="24"/>
        </w:rPr>
      </w:pPr>
      <w:r w:rsidRPr="0001230F">
        <w:rPr>
          <w:rFonts w:ascii="Century Gothic" w:eastAsia="Times New Roman" w:hAnsi="Century Gothic" w:cs="Helvetica"/>
          <w:sz w:val="24"/>
          <w:szCs w:val="24"/>
        </w:rPr>
        <w:lastRenderedPageBreak/>
        <w:t>Base oil component</w:t>
      </w:r>
      <w:r>
        <w:rPr>
          <w:rFonts w:ascii="Century Gothic" w:eastAsia="Times New Roman" w:hAnsi="Century Gothic" w:cs="Helvetica"/>
          <w:sz w:val="24"/>
          <w:szCs w:val="24"/>
        </w:rPr>
        <w:t xml:space="preserve">—Low solubility and floats and is expected to migrate from water to the land. Expected to partition to sediment and wastewater solids. </w:t>
      </w:r>
      <w:r>
        <w:rPr>
          <w:rFonts w:ascii="Century Gothic" w:eastAsia="Times New Roman" w:hAnsi="Century Gothic" w:cs="Helvetica"/>
          <w:sz w:val="24"/>
          <w:szCs w:val="24"/>
        </w:rPr>
        <w:br/>
      </w:r>
    </w:p>
    <w:p w14:paraId="12362EFE" w14:textId="77777777" w:rsidR="003D30D6" w:rsidRDefault="003D30D6" w:rsidP="003D30D6">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23A51114"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43B5770D"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0E8D0090" w14:textId="77777777" w:rsidR="003D30D6" w:rsidRDefault="003D30D6" w:rsidP="003D30D6">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r>
      <w:r w:rsidR="00724AE2">
        <w:rPr>
          <w:rFonts w:ascii="Century Gothic" w:eastAsia="Times New Roman" w:hAnsi="Century Gothic" w:cs="Helvetica"/>
          <w:sz w:val="24"/>
          <w:szCs w:val="24"/>
        </w:rPr>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14DAAB2B"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525B550D"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23E54320" w14:textId="77777777" w:rsidR="003D30D6" w:rsidRDefault="003D30D6" w:rsidP="00724AE2">
      <w:pPr>
        <w:pStyle w:val="NoSpacing"/>
        <w:rPr>
          <w:rFonts w:ascii="Century Gothic" w:eastAsia="Times New Roman" w:hAnsi="Century Gothic"/>
        </w:rPr>
      </w:pPr>
    </w:p>
    <w:p w14:paraId="2D4CE670" w14:textId="77777777" w:rsidR="003D30D6" w:rsidRDefault="003D30D6" w:rsidP="003D30D6">
      <w:pPr>
        <w:pStyle w:val="NoSpacing"/>
        <w:rPr>
          <w:rFonts w:ascii="Century Gothic" w:eastAsia="Times New Roman" w:hAnsi="Century Gothic"/>
        </w:rPr>
      </w:pPr>
      <w:r>
        <w:rPr>
          <w:rFonts w:ascii="Century Gothic" w:eastAsia="Times New Roman" w:hAnsi="Century Gothic"/>
          <w:b/>
          <w:bCs/>
        </w:rPr>
        <w:t>LAND (TDG):</w:t>
      </w:r>
      <w:r>
        <w:rPr>
          <w:rFonts w:ascii="Century Gothic" w:eastAsia="Times New Roman" w:hAnsi="Century Gothic"/>
        </w:rPr>
        <w:t> Not Regulated for Land Transport</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SEA (IMDG):</w:t>
      </w:r>
      <w:r>
        <w:rPr>
          <w:rFonts w:ascii="Century Gothic" w:eastAsia="Times New Roman" w:hAnsi="Century Gothic"/>
        </w:rPr>
        <w:t> Not Regulated for Sea Transport according to IMDG-Code</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rPr>
        <w:t>Marine Pollutant:</w:t>
      </w:r>
      <w:r>
        <w:rPr>
          <w:rFonts w:ascii="Century Gothic" w:eastAsia="Times New Roman" w:hAnsi="Century Gothic"/>
        </w:rPr>
        <w:t xml:space="preserve"> No</w:t>
      </w:r>
      <w:r>
        <w:rPr>
          <w:rFonts w:ascii="Century Gothic" w:eastAsia="Times New Roman" w:hAnsi="Century Gothic"/>
        </w:rPr>
        <w:br/>
      </w:r>
      <w:r>
        <w:rPr>
          <w:rFonts w:ascii="Century Gothic" w:eastAsia="Times New Roman" w:hAnsi="Century Gothic"/>
        </w:rPr>
        <w:lastRenderedPageBreak/>
        <w:br/>
      </w:r>
      <w:r>
        <w:rPr>
          <w:rFonts w:ascii="Century Gothic" w:eastAsia="Times New Roman" w:hAnsi="Century Gothic"/>
          <w:b/>
          <w:bCs/>
        </w:rPr>
        <w:t>AIR (IATA):</w:t>
      </w:r>
      <w:r>
        <w:rPr>
          <w:rFonts w:ascii="Century Gothic" w:eastAsia="Times New Roman" w:hAnsi="Century Gothic"/>
        </w:rPr>
        <w:t> Not Regulated for Air Transport</w:t>
      </w:r>
    </w:p>
    <w:p w14:paraId="7A3118EC" w14:textId="77777777" w:rsidR="003D30D6" w:rsidRDefault="003D30D6" w:rsidP="003D30D6">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3E5C0663"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48960574"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6B6DD63C"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6FC0A691" w14:textId="77777777" w:rsidR="003D30D6" w:rsidRDefault="003D30D6" w:rsidP="00724AE2">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br/>
      </w:r>
      <w:r w:rsidR="00724AE2">
        <w:rPr>
          <w:rFonts w:ascii="Century Gothic" w:eastAsia="Times New Roman" w:hAnsi="Century Gothic" w:cs="Helvetica"/>
          <w:b/>
          <w:bCs/>
          <w:sz w:val="24"/>
          <w:szCs w:val="24"/>
        </w:rPr>
        <w:t>Special Cases:</w:t>
      </w:r>
    </w:p>
    <w:tbl>
      <w:tblPr>
        <w:tblStyle w:val="TableGrid"/>
        <w:tblW w:w="0" w:type="auto"/>
        <w:tblLook w:val="04A0" w:firstRow="1" w:lastRow="0" w:firstColumn="1" w:lastColumn="0" w:noHBand="0" w:noVBand="1"/>
      </w:tblPr>
      <w:tblGrid>
        <w:gridCol w:w="4788"/>
        <w:gridCol w:w="4788"/>
      </w:tblGrid>
      <w:tr w:rsidR="00724AE2" w14:paraId="4AD8975F" w14:textId="77777777" w:rsidTr="00724AE2">
        <w:tc>
          <w:tcPr>
            <w:tcW w:w="4788" w:type="dxa"/>
          </w:tcPr>
          <w:p w14:paraId="4CC302BC" w14:textId="77777777" w:rsidR="00724AE2" w:rsidRDefault="00724AE2" w:rsidP="00724AE2">
            <w:pPr>
              <w:rPr>
                <w:rFonts w:ascii="Century Gothic" w:eastAsia="Times New Roman" w:hAnsi="Century Gothic" w:cs="Helvetica"/>
                <w:sz w:val="24"/>
                <w:szCs w:val="24"/>
              </w:rPr>
            </w:pPr>
            <w:r>
              <w:rPr>
                <w:rFonts w:ascii="Century Gothic" w:eastAsia="Times New Roman" w:hAnsi="Century Gothic" w:cs="Helvetica"/>
                <w:sz w:val="24"/>
                <w:szCs w:val="24"/>
              </w:rPr>
              <w:t>Inventory</w:t>
            </w:r>
          </w:p>
        </w:tc>
        <w:tc>
          <w:tcPr>
            <w:tcW w:w="4788" w:type="dxa"/>
          </w:tcPr>
          <w:p w14:paraId="704CBC16" w14:textId="77777777" w:rsidR="00724AE2" w:rsidRDefault="00724AE2" w:rsidP="00724AE2">
            <w:pPr>
              <w:rPr>
                <w:rFonts w:ascii="Century Gothic" w:eastAsia="Times New Roman" w:hAnsi="Century Gothic" w:cs="Helvetica"/>
                <w:sz w:val="24"/>
                <w:szCs w:val="24"/>
              </w:rPr>
            </w:pPr>
            <w:r>
              <w:rPr>
                <w:rFonts w:ascii="Century Gothic" w:eastAsia="Times New Roman" w:hAnsi="Century Gothic" w:cs="Helvetica"/>
                <w:sz w:val="24"/>
                <w:szCs w:val="24"/>
              </w:rPr>
              <w:t>Status</w:t>
            </w:r>
          </w:p>
        </w:tc>
      </w:tr>
      <w:tr w:rsidR="00724AE2" w14:paraId="283DD27F" w14:textId="77777777" w:rsidTr="00724AE2">
        <w:tc>
          <w:tcPr>
            <w:tcW w:w="4788" w:type="dxa"/>
          </w:tcPr>
          <w:p w14:paraId="7233E941" w14:textId="77777777" w:rsidR="00724AE2" w:rsidRDefault="00724AE2" w:rsidP="00724AE2">
            <w:pPr>
              <w:rPr>
                <w:rFonts w:ascii="Century Gothic" w:eastAsia="Times New Roman" w:hAnsi="Century Gothic" w:cs="Helvetica"/>
                <w:sz w:val="24"/>
                <w:szCs w:val="24"/>
              </w:rPr>
            </w:pPr>
            <w:r>
              <w:rPr>
                <w:rFonts w:ascii="Century Gothic" w:eastAsia="Times New Roman" w:hAnsi="Century Gothic" w:cs="Helvetica"/>
                <w:sz w:val="24"/>
                <w:szCs w:val="24"/>
              </w:rPr>
              <w:t xml:space="preserve">ENCS </w:t>
            </w:r>
          </w:p>
        </w:tc>
        <w:tc>
          <w:tcPr>
            <w:tcW w:w="4788" w:type="dxa"/>
          </w:tcPr>
          <w:p w14:paraId="4C886955" w14:textId="77777777" w:rsidR="00724AE2" w:rsidRDefault="00724AE2" w:rsidP="00724AE2">
            <w:pPr>
              <w:rPr>
                <w:rFonts w:ascii="Century Gothic" w:eastAsia="Times New Roman" w:hAnsi="Century Gothic" w:cs="Helvetica"/>
                <w:sz w:val="24"/>
                <w:szCs w:val="24"/>
              </w:rPr>
            </w:pPr>
            <w:r>
              <w:rPr>
                <w:rFonts w:ascii="Century Gothic" w:eastAsia="Times New Roman" w:hAnsi="Century Gothic" w:cs="Helvetica"/>
                <w:sz w:val="24"/>
                <w:szCs w:val="24"/>
              </w:rPr>
              <w:t>Restrictions Apply</w:t>
            </w:r>
          </w:p>
        </w:tc>
      </w:tr>
    </w:tbl>
    <w:p w14:paraId="66C12C33" w14:textId="77777777" w:rsidR="00724AE2" w:rsidRDefault="00724AE2" w:rsidP="00724AE2">
      <w:pPr>
        <w:spacing w:after="0" w:line="240" w:lineRule="auto"/>
        <w:rPr>
          <w:rFonts w:ascii="Century Gothic" w:eastAsia="Times New Roman" w:hAnsi="Century Gothic" w:cs="Helvetica"/>
          <w:sz w:val="24"/>
          <w:szCs w:val="24"/>
        </w:rPr>
      </w:pPr>
    </w:p>
    <w:p w14:paraId="1BC9871B" w14:textId="77777777" w:rsidR="00724AE2" w:rsidRDefault="00724AE2" w:rsidP="00724AE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EPCRA Section 302: This material contains no extremely hazardous substances. </w:t>
      </w:r>
    </w:p>
    <w:p w14:paraId="1D50E3D6" w14:textId="77777777" w:rsidR="00724AE2"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w:t>
      </w:r>
      <w:r w:rsidR="00724AE2">
        <w:rPr>
          <w:rFonts w:ascii="Century Gothic" w:eastAsia="Times New Roman" w:hAnsi="Century Gothic" w:cs="Helvetica"/>
          <w:sz w:val="24"/>
          <w:szCs w:val="24"/>
        </w:rPr>
        <w:t>None</w:t>
      </w:r>
    </w:p>
    <w:p w14:paraId="43415817" w14:textId="77777777" w:rsidR="00724AE2" w:rsidRDefault="003D30D6" w:rsidP="00724AE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r w:rsidR="00724AE2">
        <w:rPr>
          <w:rFonts w:ascii="Century Gothic" w:eastAsia="Times New Roman" w:hAnsi="Century Gothic" w:cs="Helvetica"/>
          <w:sz w:val="24"/>
          <w:szCs w:val="24"/>
        </w:rPr>
        <w:t xml:space="preserve">This material contains no chemicals subject to the supplier notification requirements of the SARA 313 Toxic Release Program. </w:t>
      </w:r>
    </w:p>
    <w:p w14:paraId="3CDD51E8" w14:textId="77777777" w:rsidR="003D30D6" w:rsidRDefault="00724AE2" w:rsidP="00724AE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p>
    <w:p w14:paraId="119C0C2C" w14:textId="77777777" w:rsidR="003D30D6" w:rsidRDefault="003D30D6" w:rsidP="003D30D6">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The following ingredients are cited on the lists below:</w:t>
      </w:r>
      <w:r w:rsidR="00724AE2">
        <w:rPr>
          <w:rFonts w:ascii="Century Gothic" w:eastAsia="Times New Roman" w:hAnsi="Century Gothic" w:cs="Helvetica"/>
          <w:b/>
          <w:sz w:val="24"/>
          <w:szCs w:val="24"/>
        </w:rPr>
        <w:t xml:space="preserve"> None</w:t>
      </w:r>
    </w:p>
    <w:p w14:paraId="2A8BB420" w14:textId="77777777" w:rsidR="003D30D6" w:rsidRDefault="003D30D6" w:rsidP="003D30D6">
      <w:pPr>
        <w:spacing w:after="0" w:line="240" w:lineRule="auto"/>
        <w:rPr>
          <w:rFonts w:ascii="Century Gothic" w:eastAsia="Times New Roman" w:hAnsi="Century Gothic" w:cs="Helvetica"/>
          <w:sz w:val="24"/>
          <w:szCs w:val="24"/>
        </w:rPr>
      </w:pPr>
    </w:p>
    <w:p w14:paraId="4C89F5AF"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63A30E0B"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015EA32D" w14:textId="77777777" w:rsidR="003D30D6" w:rsidRDefault="003D30D6" w:rsidP="003D30D6">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D30D6" w14:paraId="6356D06F" w14:textId="77777777" w:rsidTr="003D30D6">
        <w:tc>
          <w:tcPr>
            <w:tcW w:w="13176" w:type="dxa"/>
            <w:tcBorders>
              <w:top w:val="nil"/>
              <w:left w:val="nil"/>
              <w:bottom w:val="nil"/>
              <w:right w:val="nil"/>
            </w:tcBorders>
            <w:shd w:val="clear" w:color="auto" w:fill="FF0000"/>
            <w:tcMar>
              <w:top w:w="0" w:type="dxa"/>
              <w:left w:w="108" w:type="dxa"/>
              <w:bottom w:w="0" w:type="dxa"/>
              <w:right w:w="108" w:type="dxa"/>
            </w:tcMar>
            <w:hideMark/>
          </w:tcPr>
          <w:p w14:paraId="26A6AD65" w14:textId="77777777" w:rsidR="003D30D6" w:rsidRDefault="003D30D6">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14872860"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2024B834" w14:textId="77777777" w:rsidR="003D30D6" w:rsidRDefault="003D30D6" w:rsidP="003D30D6">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3BBB67C0" w14:textId="77777777" w:rsidR="003D30D6" w:rsidRDefault="003D30D6" w:rsidP="003D30D6">
      <w:pPr>
        <w:spacing w:after="0" w:line="240" w:lineRule="auto"/>
        <w:rPr>
          <w:rFonts w:ascii="Century Gothic" w:eastAsia="Times New Roman" w:hAnsi="Century Gothic" w:cs="Helvetica"/>
          <w:sz w:val="24"/>
          <w:szCs w:val="24"/>
        </w:rPr>
      </w:pPr>
    </w:p>
    <w:p w14:paraId="1F8807D2" w14:textId="77777777" w:rsidR="00724AE2" w:rsidRDefault="00724AE2"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H361(D): Suspected of damaging the unborn child; Repro Tox, Cat 2 (Develop)</w:t>
      </w:r>
    </w:p>
    <w:p w14:paraId="40A0B950" w14:textId="77777777" w:rsidR="00724AE2" w:rsidRDefault="00724AE2"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H361(F): Suspected of damaging fertility; Repro Tox, Cat 2 (Fertility)</w:t>
      </w:r>
    </w:p>
    <w:p w14:paraId="70F20A7A" w14:textId="77777777" w:rsidR="00724AE2" w:rsidRDefault="00724AE2"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H402: Harmful to aquatic life; Acute Env Tox, Cat 3</w:t>
      </w:r>
    </w:p>
    <w:p w14:paraId="1088D10D" w14:textId="77777777" w:rsidR="00724AE2" w:rsidRDefault="00724AE2"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H412: Harmful to aquatic life with long lasting effects; Chronic Env Tox, Cat 3</w:t>
      </w:r>
    </w:p>
    <w:p w14:paraId="6BC89465" w14:textId="77777777" w:rsidR="00724AE2" w:rsidRDefault="00724AE2" w:rsidP="003D30D6">
      <w:pPr>
        <w:spacing w:after="0" w:line="240" w:lineRule="auto"/>
        <w:rPr>
          <w:rFonts w:ascii="Century Gothic" w:eastAsia="Times New Roman" w:hAnsi="Century Gothic" w:cs="Helvetica"/>
          <w:sz w:val="24"/>
          <w:szCs w:val="24"/>
        </w:rPr>
      </w:pPr>
    </w:p>
    <w:p w14:paraId="08F1DB22" w14:textId="77777777" w:rsidR="003D30D6" w:rsidRDefault="003D30D6" w:rsidP="003D30D6">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1706551" w14:textId="77777777" w:rsidR="00900A3A" w:rsidRDefault="00900A3A"/>
    <w:sectPr w:rsidR="00900A3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5240" w14:textId="77777777" w:rsidR="003E2F5F" w:rsidRDefault="003E2F5F" w:rsidP="003D30D6">
      <w:pPr>
        <w:spacing w:after="0" w:line="240" w:lineRule="auto"/>
      </w:pPr>
      <w:r>
        <w:separator/>
      </w:r>
    </w:p>
  </w:endnote>
  <w:endnote w:type="continuationSeparator" w:id="0">
    <w:p w14:paraId="3D0807EC" w14:textId="77777777" w:rsidR="003E2F5F" w:rsidRDefault="003E2F5F" w:rsidP="003D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04600"/>
      <w:docPartObj>
        <w:docPartGallery w:val="Page Numbers (Bottom of Page)"/>
        <w:docPartUnique/>
      </w:docPartObj>
    </w:sdtPr>
    <w:sdtEndPr>
      <w:rPr>
        <w:noProof/>
      </w:rPr>
    </w:sdtEndPr>
    <w:sdtContent>
      <w:p w14:paraId="29738870" w14:textId="77777777" w:rsidR="00724AE2" w:rsidRDefault="00724AE2">
        <w:pPr>
          <w:pStyle w:val="Footer"/>
          <w:jc w:val="center"/>
        </w:pPr>
        <w:r>
          <w:fldChar w:fldCharType="begin"/>
        </w:r>
        <w:r>
          <w:instrText xml:space="preserve"> PAGE   \* MERGEFORMAT </w:instrText>
        </w:r>
        <w:r>
          <w:fldChar w:fldCharType="separate"/>
        </w:r>
        <w:r w:rsidR="009C1D6F">
          <w:rPr>
            <w:noProof/>
          </w:rPr>
          <w:t>1</w:t>
        </w:r>
        <w:r>
          <w:rPr>
            <w:noProof/>
          </w:rPr>
          <w:fldChar w:fldCharType="end"/>
        </w:r>
      </w:p>
    </w:sdtContent>
  </w:sdt>
  <w:p w14:paraId="5045E835" w14:textId="77777777" w:rsidR="003D30D6" w:rsidRDefault="003D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B696" w14:textId="77777777" w:rsidR="003E2F5F" w:rsidRDefault="003E2F5F" w:rsidP="003D30D6">
      <w:pPr>
        <w:spacing w:after="0" w:line="240" w:lineRule="auto"/>
      </w:pPr>
      <w:r>
        <w:separator/>
      </w:r>
    </w:p>
  </w:footnote>
  <w:footnote w:type="continuationSeparator" w:id="0">
    <w:p w14:paraId="7ECC7E20" w14:textId="77777777" w:rsidR="003E2F5F" w:rsidRDefault="003E2F5F" w:rsidP="003D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381E" w14:textId="77777777" w:rsidR="003D30D6" w:rsidRDefault="003D30D6">
    <w:pPr>
      <w:pStyle w:val="Header"/>
    </w:pPr>
    <w:r>
      <w:rPr>
        <w:noProof/>
      </w:rPr>
      <w:drawing>
        <wp:inline distT="0" distB="0" distL="0" distR="0" wp14:anchorId="3A826B5F" wp14:editId="385DE8EA">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D6"/>
    <w:rsid w:val="00004885"/>
    <w:rsid w:val="0001230F"/>
    <w:rsid w:val="00067FE2"/>
    <w:rsid w:val="00277C51"/>
    <w:rsid w:val="00331EE4"/>
    <w:rsid w:val="003A2B60"/>
    <w:rsid w:val="003B25A2"/>
    <w:rsid w:val="003D30D6"/>
    <w:rsid w:val="003E2F5F"/>
    <w:rsid w:val="00401CF0"/>
    <w:rsid w:val="00466537"/>
    <w:rsid w:val="00724AE2"/>
    <w:rsid w:val="007B3C7C"/>
    <w:rsid w:val="00807362"/>
    <w:rsid w:val="00897CE0"/>
    <w:rsid w:val="00900A3A"/>
    <w:rsid w:val="009C1D6F"/>
    <w:rsid w:val="009C6EAF"/>
    <w:rsid w:val="00B4318E"/>
    <w:rsid w:val="00B45FDD"/>
    <w:rsid w:val="00BB13D3"/>
    <w:rsid w:val="00DF1939"/>
    <w:rsid w:val="00EB6F8E"/>
    <w:rsid w:val="00F42778"/>
    <w:rsid w:val="00F6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3AF8B0"/>
  <w15:docId w15:val="{2AA77322-71EB-48EB-AA16-F694A341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0D6"/>
    <w:pPr>
      <w:spacing w:after="0" w:line="240" w:lineRule="auto"/>
    </w:pPr>
    <w:rPr>
      <w:rFonts w:eastAsiaTheme="minorEastAsia"/>
      <w:sz w:val="24"/>
      <w:szCs w:val="24"/>
    </w:rPr>
  </w:style>
  <w:style w:type="table" w:styleId="TableGrid">
    <w:name w:val="Table Grid"/>
    <w:basedOn w:val="TableNormal"/>
    <w:uiPriority w:val="59"/>
    <w:rsid w:val="003D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D6"/>
    <w:rPr>
      <w:rFonts w:ascii="Tahoma" w:hAnsi="Tahoma" w:cs="Tahoma"/>
      <w:sz w:val="16"/>
      <w:szCs w:val="16"/>
    </w:rPr>
  </w:style>
  <w:style w:type="paragraph" w:styleId="Header">
    <w:name w:val="header"/>
    <w:basedOn w:val="Normal"/>
    <w:link w:val="HeaderChar"/>
    <w:uiPriority w:val="99"/>
    <w:unhideWhenUsed/>
    <w:rsid w:val="003D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D6"/>
  </w:style>
  <w:style w:type="paragraph" w:styleId="Footer">
    <w:name w:val="footer"/>
    <w:basedOn w:val="Normal"/>
    <w:link w:val="FooterChar"/>
    <w:uiPriority w:val="99"/>
    <w:unhideWhenUsed/>
    <w:rsid w:val="003D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dcterms:created xsi:type="dcterms:W3CDTF">2016-02-01T19:46:00Z</dcterms:created>
  <dcterms:modified xsi:type="dcterms:W3CDTF">2022-01-07T17:07:00Z</dcterms:modified>
</cp:coreProperties>
</file>