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63D7" w14:textId="77777777" w:rsidR="00365ADD" w:rsidRDefault="00365ADD" w:rsidP="00365ADD">
      <w:pPr>
        <w:pStyle w:val="NoSpacing"/>
      </w:pPr>
    </w:p>
    <w:p w14:paraId="7FA42749" w14:textId="77777777" w:rsidR="00365ADD" w:rsidRPr="00365ADD" w:rsidRDefault="00365ADD" w:rsidP="00365ADD">
      <w:pPr>
        <w:pStyle w:val="NoSpacing"/>
        <w:rPr>
          <w:rFonts w:ascii="Century Gothic" w:eastAsiaTheme="minorEastAsia" w:hAnsi="Century Gothic"/>
          <w:b/>
          <w:color w:val="000000" w:themeColor="text1"/>
          <w:sz w:val="24"/>
          <w:szCs w:val="24"/>
        </w:rPr>
      </w:pPr>
      <w:r w:rsidRPr="00365ADD">
        <w:rPr>
          <w:rFonts w:ascii="Century Gothic" w:hAnsi="Century Gothic"/>
          <w:b/>
          <w:sz w:val="24"/>
          <w:szCs w:val="24"/>
        </w:rPr>
        <w:t xml:space="preserve">Safety Data Sheet: </w:t>
      </w:r>
      <w:r w:rsidRPr="00365ADD">
        <w:rPr>
          <w:rFonts w:ascii="Century Gothic" w:eastAsiaTheme="minorEastAsia" w:hAnsi="Century Gothic"/>
          <w:b/>
          <w:color w:val="000000" w:themeColor="text1"/>
          <w:sz w:val="24"/>
          <w:szCs w:val="24"/>
        </w:rPr>
        <w:t>Signal Tranz TO-4-30</w:t>
      </w:r>
    </w:p>
    <w:p w14:paraId="57842935" w14:textId="1B21C73E" w:rsidR="00365ADD" w:rsidRPr="00365ADD" w:rsidRDefault="00365ADD" w:rsidP="00365ADD">
      <w:pPr>
        <w:pStyle w:val="NoSpacing"/>
        <w:rPr>
          <w:rFonts w:ascii="Century Gothic" w:eastAsiaTheme="minorEastAsia" w:hAnsi="Century Gothic"/>
          <w:b/>
          <w:color w:val="000000" w:themeColor="text1"/>
          <w:sz w:val="24"/>
          <w:szCs w:val="24"/>
        </w:rPr>
      </w:pPr>
      <w:r w:rsidRPr="00365ADD">
        <w:rPr>
          <w:rFonts w:ascii="Century Gothic" w:hAnsi="Century Gothic" w:cs="Arial"/>
          <w:b/>
          <w:color w:val="030303"/>
          <w:sz w:val="24"/>
          <w:szCs w:val="24"/>
        </w:rPr>
        <w:t xml:space="preserve">Revision Date: </w:t>
      </w:r>
      <w:r w:rsidR="00CB627B">
        <w:rPr>
          <w:rFonts w:ascii="Century Gothic" w:eastAsia="Times New Roman" w:hAnsi="Century Gothic" w:cs="Times New Roman"/>
          <w:b/>
          <w:bCs/>
          <w:color w:val="030303"/>
          <w:sz w:val="24"/>
          <w:szCs w:val="24"/>
        </w:rPr>
        <w:t>January 2</w:t>
      </w:r>
      <w:r w:rsidR="00CB627B">
        <w:rPr>
          <w:rFonts w:ascii="Century Gothic" w:eastAsia="Times New Roman" w:hAnsi="Century Gothic" w:cs="Times New Roman"/>
          <w:b/>
          <w:bCs/>
          <w:color w:val="030303"/>
          <w:sz w:val="24"/>
          <w:szCs w:val="24"/>
          <w:vertAlign w:val="superscript"/>
        </w:rPr>
        <w:t>nd</w:t>
      </w:r>
      <w:r w:rsidR="00CB627B">
        <w:rPr>
          <w:rFonts w:ascii="Century Gothic" w:eastAsia="Times New Roman" w:hAnsi="Century Gothic" w:cs="Times New Roman"/>
          <w:b/>
          <w:bCs/>
          <w:color w:val="030303"/>
          <w:sz w:val="24"/>
          <w:szCs w:val="24"/>
        </w:rPr>
        <w:t xml:space="preserve"> 20</w:t>
      </w:r>
      <w:r w:rsidR="00C614C7">
        <w:rPr>
          <w:rFonts w:ascii="Century Gothic" w:eastAsia="Times New Roman" w:hAnsi="Century Gothic" w:cs="Times New Roman"/>
          <w:b/>
          <w:bCs/>
          <w:color w:val="030303"/>
          <w:sz w:val="24"/>
          <w:szCs w:val="24"/>
        </w:rPr>
        <w:t>2</w:t>
      </w:r>
      <w:r w:rsidR="00EC6463">
        <w:rPr>
          <w:rFonts w:ascii="Century Gothic" w:eastAsia="Times New Roman" w:hAnsi="Century Gothic" w:cs="Times New Roman"/>
          <w:b/>
          <w:bCs/>
          <w:color w:val="030303"/>
          <w:sz w:val="24"/>
          <w:szCs w:val="24"/>
        </w:rPr>
        <w:t>2</w:t>
      </w:r>
    </w:p>
    <w:p w14:paraId="042DC2AE" w14:textId="77777777" w:rsidR="00365ADD" w:rsidRDefault="00365ADD" w:rsidP="00365ADD">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6D41C9B"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6A923A51" w14:textId="77777777" w:rsidR="00365ADD" w:rsidRDefault="00365ADD" w:rsidP="00897AA5">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25A1E5C" w14:textId="77777777" w:rsidR="00365ADD" w:rsidRDefault="00365ADD" w:rsidP="00365ADD">
      <w:pPr>
        <w:spacing w:after="0" w:line="240" w:lineRule="auto"/>
        <w:rPr>
          <w:rFonts w:ascii="Century Gothic" w:eastAsiaTheme="minorEastAsia" w:hAnsi="Century Gothic"/>
          <w:b/>
          <w:sz w:val="24"/>
          <w:szCs w:val="24"/>
        </w:rPr>
      </w:pPr>
      <w:r>
        <w:rPr>
          <w:rFonts w:ascii="Century Gothic" w:eastAsia="Times New Roman" w:hAnsi="Century Gothic" w:cs="Arial"/>
          <w:sz w:val="24"/>
          <w:szCs w:val="24"/>
        </w:rPr>
        <w:br/>
      </w:r>
      <w:r>
        <w:rPr>
          <w:rFonts w:ascii="Century Gothic" w:eastAsiaTheme="minorEastAsia" w:hAnsi="Century Gothic"/>
          <w:b/>
          <w:sz w:val="24"/>
          <w:szCs w:val="24"/>
        </w:rPr>
        <w:t>PRODUCT</w:t>
      </w:r>
    </w:p>
    <w:p w14:paraId="264B5DCE" w14:textId="77777777" w:rsidR="00365ADD" w:rsidRPr="00365ADD" w:rsidRDefault="00365ADD" w:rsidP="00365ADD">
      <w:pPr>
        <w:pStyle w:val="NoSpacing"/>
        <w:rPr>
          <w:rFonts w:ascii="Century Gothic" w:hAnsi="Century Gothic"/>
          <w:sz w:val="24"/>
          <w:szCs w:val="24"/>
        </w:rPr>
      </w:pPr>
      <w:r>
        <w:tab/>
      </w:r>
      <w:r w:rsidRPr="00365ADD">
        <w:rPr>
          <w:rFonts w:ascii="Century Gothic" w:hAnsi="Century Gothic"/>
          <w:b/>
          <w:sz w:val="24"/>
          <w:szCs w:val="24"/>
        </w:rPr>
        <w:t>Product Name:</w:t>
      </w:r>
      <w:r w:rsidRPr="00365ADD">
        <w:rPr>
          <w:rFonts w:ascii="Century Gothic" w:hAnsi="Century Gothic"/>
          <w:sz w:val="24"/>
          <w:szCs w:val="24"/>
        </w:rPr>
        <w:t xml:space="preserve"> Signal Tranz TO-4-30</w:t>
      </w:r>
    </w:p>
    <w:p w14:paraId="345A6C06" w14:textId="77777777" w:rsidR="00365ADD" w:rsidRPr="00365ADD" w:rsidRDefault="00365ADD" w:rsidP="00365ADD">
      <w:pPr>
        <w:pStyle w:val="NoSpacing"/>
        <w:rPr>
          <w:rFonts w:ascii="Century Gothic" w:hAnsi="Century Gothic"/>
          <w:sz w:val="24"/>
          <w:szCs w:val="24"/>
        </w:rPr>
      </w:pPr>
      <w:r w:rsidRPr="00365ADD">
        <w:rPr>
          <w:rFonts w:ascii="Century Gothic" w:hAnsi="Century Gothic"/>
          <w:sz w:val="24"/>
          <w:szCs w:val="24"/>
        </w:rPr>
        <w:tab/>
      </w:r>
      <w:r w:rsidRPr="00365ADD">
        <w:rPr>
          <w:rFonts w:ascii="Century Gothic" w:hAnsi="Century Gothic"/>
          <w:b/>
          <w:sz w:val="24"/>
          <w:szCs w:val="24"/>
        </w:rPr>
        <w:t>Intended Use:</w:t>
      </w:r>
      <w:r w:rsidRPr="00365ADD">
        <w:rPr>
          <w:rFonts w:ascii="Century Gothic" w:hAnsi="Century Gothic"/>
          <w:sz w:val="24"/>
          <w:szCs w:val="24"/>
        </w:rPr>
        <w:t xml:space="preserve"> </w:t>
      </w:r>
      <w:r>
        <w:rPr>
          <w:rFonts w:ascii="Century Gothic" w:hAnsi="Century Gothic"/>
          <w:sz w:val="24"/>
          <w:szCs w:val="24"/>
        </w:rPr>
        <w:t>Drive Train Fluid</w:t>
      </w:r>
    </w:p>
    <w:p w14:paraId="0BEEE0E6" w14:textId="77777777" w:rsidR="00365ADD" w:rsidRDefault="00365ADD" w:rsidP="00365ADD">
      <w:pPr>
        <w:spacing w:after="0" w:line="240" w:lineRule="auto"/>
        <w:rPr>
          <w:rFonts w:ascii="Century Gothic" w:eastAsiaTheme="minorEastAsia" w:hAnsi="Century Gothic"/>
          <w:sz w:val="24"/>
          <w:szCs w:val="24"/>
        </w:rPr>
      </w:pPr>
    </w:p>
    <w:p w14:paraId="66368C4D" w14:textId="77777777" w:rsidR="00365ADD" w:rsidRDefault="00365ADD" w:rsidP="00365ADD">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55B16161"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10F1A64D"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21858635"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1A7A5581" w14:textId="77777777" w:rsidR="00365ADD" w:rsidRDefault="00365ADD" w:rsidP="00365ADD">
      <w:pPr>
        <w:spacing w:after="0" w:line="240" w:lineRule="auto"/>
        <w:rPr>
          <w:rFonts w:ascii="Century Gothic" w:eastAsiaTheme="minorEastAsia" w:hAnsi="Century Gothic"/>
          <w:sz w:val="24"/>
          <w:szCs w:val="24"/>
        </w:rPr>
      </w:pPr>
    </w:p>
    <w:p w14:paraId="622EFCD2" w14:textId="77777777" w:rsidR="00365ADD" w:rsidRDefault="00365ADD" w:rsidP="00365ADD">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3FA5DEA7" w14:textId="77777777" w:rsidR="00D34295" w:rsidRDefault="00D34295" w:rsidP="00365ADD">
      <w:pPr>
        <w:spacing w:after="0" w:line="240" w:lineRule="auto"/>
        <w:rPr>
          <w:rFonts w:ascii="Century Gothic" w:eastAsiaTheme="minorEastAsia" w:hAnsi="Century Gothic"/>
          <w:sz w:val="24"/>
          <w:szCs w:val="24"/>
        </w:rPr>
      </w:pPr>
      <w:r w:rsidRPr="00D34295">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595B88C1" w14:textId="77777777" w:rsidR="00365ADD" w:rsidRDefault="00365ADD" w:rsidP="00365ADD">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623D8BAA"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279A3705"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6E23D23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not hazardous according to regulatory guidelines (M)SDS Section 15)</w:t>
      </w:r>
    </w:p>
    <w:p w14:paraId="6F44A9E6" w14:textId="77777777" w:rsidR="00365ADD" w:rsidRDefault="00365ADD" w:rsidP="00365ADD">
      <w:pPr>
        <w:spacing w:after="0" w:line="240" w:lineRule="auto"/>
        <w:rPr>
          <w:rFonts w:ascii="Century Gothic" w:eastAsia="Times New Roman" w:hAnsi="Century Gothic" w:cs="Times New Roman"/>
          <w:sz w:val="24"/>
          <w:szCs w:val="24"/>
        </w:rPr>
      </w:pPr>
    </w:p>
    <w:p w14:paraId="3836CAA0"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HAZARDS NOT OTHERWISE CLASSIFIED: </w:t>
      </w:r>
      <w:r w:rsidRPr="00365ADD">
        <w:rPr>
          <w:rFonts w:ascii="Century Gothic" w:eastAsia="Times New Roman" w:hAnsi="Century Gothic" w:cs="Times New Roman"/>
          <w:bCs/>
          <w:sz w:val="24"/>
          <w:szCs w:val="24"/>
        </w:rPr>
        <w:t xml:space="preserve">Not Applicable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3A13E186"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29082F86"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27BFB43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p>
    <w:tbl>
      <w:tblPr>
        <w:tblStyle w:val="TableGrid"/>
        <w:tblW w:w="0" w:type="auto"/>
        <w:tblLook w:val="04A0" w:firstRow="1" w:lastRow="0" w:firstColumn="1" w:lastColumn="0" w:noHBand="0" w:noVBand="1"/>
      </w:tblPr>
      <w:tblGrid>
        <w:gridCol w:w="3192"/>
        <w:gridCol w:w="3192"/>
        <w:gridCol w:w="3192"/>
      </w:tblGrid>
      <w:tr w:rsidR="00365ADD" w14:paraId="5DD37B95" w14:textId="77777777" w:rsidTr="00365ADD">
        <w:tc>
          <w:tcPr>
            <w:tcW w:w="3192" w:type="dxa"/>
          </w:tcPr>
          <w:p w14:paraId="00714FFE" w14:textId="77777777" w:rsidR="00365ADD" w:rsidRPr="00365ADD" w:rsidRDefault="00365ADD" w:rsidP="00365ADD">
            <w:pPr>
              <w:rPr>
                <w:rFonts w:ascii="Century Gothic" w:eastAsia="Times New Roman" w:hAnsi="Century Gothic" w:cs="Times New Roman"/>
                <w:b/>
                <w:sz w:val="24"/>
                <w:szCs w:val="24"/>
              </w:rPr>
            </w:pPr>
            <w:r w:rsidRPr="00365ADD">
              <w:rPr>
                <w:rFonts w:ascii="Century Gothic" w:eastAsia="Times New Roman" w:hAnsi="Century Gothic" w:cs="Times New Roman"/>
                <w:b/>
                <w:sz w:val="24"/>
                <w:szCs w:val="24"/>
              </w:rPr>
              <w:t>COMPONENTS</w:t>
            </w:r>
          </w:p>
        </w:tc>
        <w:tc>
          <w:tcPr>
            <w:tcW w:w="3192" w:type="dxa"/>
          </w:tcPr>
          <w:p w14:paraId="1616649F" w14:textId="77777777" w:rsidR="00365ADD" w:rsidRPr="00365ADD" w:rsidRDefault="00365ADD" w:rsidP="00365ADD">
            <w:pPr>
              <w:rPr>
                <w:rFonts w:ascii="Century Gothic" w:eastAsia="Times New Roman" w:hAnsi="Century Gothic" w:cs="Times New Roman"/>
                <w:b/>
                <w:sz w:val="24"/>
                <w:szCs w:val="24"/>
              </w:rPr>
            </w:pPr>
            <w:r w:rsidRPr="00365ADD">
              <w:rPr>
                <w:rFonts w:ascii="Century Gothic" w:eastAsia="Times New Roman" w:hAnsi="Century Gothic" w:cs="Times New Roman"/>
                <w:b/>
                <w:sz w:val="24"/>
                <w:szCs w:val="24"/>
              </w:rPr>
              <w:t>CAS NUMBER</w:t>
            </w:r>
          </w:p>
        </w:tc>
        <w:tc>
          <w:tcPr>
            <w:tcW w:w="3192" w:type="dxa"/>
          </w:tcPr>
          <w:p w14:paraId="741ED4B8" w14:textId="77777777" w:rsidR="00365ADD" w:rsidRPr="00365ADD" w:rsidRDefault="00365ADD" w:rsidP="00365ADD">
            <w:pPr>
              <w:rPr>
                <w:rFonts w:ascii="Century Gothic" w:eastAsia="Times New Roman" w:hAnsi="Century Gothic" w:cs="Times New Roman"/>
                <w:b/>
                <w:sz w:val="24"/>
                <w:szCs w:val="24"/>
              </w:rPr>
            </w:pPr>
            <w:r w:rsidRPr="00365ADD">
              <w:rPr>
                <w:rFonts w:ascii="Century Gothic" w:eastAsia="Times New Roman" w:hAnsi="Century Gothic" w:cs="Times New Roman"/>
                <w:b/>
                <w:sz w:val="24"/>
                <w:szCs w:val="24"/>
              </w:rPr>
              <w:t>AMOUNT</w:t>
            </w:r>
          </w:p>
        </w:tc>
      </w:tr>
      <w:tr w:rsidR="00365ADD" w14:paraId="2B069710" w14:textId="77777777" w:rsidTr="00365ADD">
        <w:tc>
          <w:tcPr>
            <w:tcW w:w="3192" w:type="dxa"/>
          </w:tcPr>
          <w:p w14:paraId="1538F88B"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Highly refined mineral oil (C15 – C50)</w:t>
            </w:r>
          </w:p>
        </w:tc>
        <w:tc>
          <w:tcPr>
            <w:tcW w:w="3192" w:type="dxa"/>
          </w:tcPr>
          <w:p w14:paraId="45A3B82C"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Mixture</w:t>
            </w:r>
          </w:p>
        </w:tc>
        <w:tc>
          <w:tcPr>
            <w:tcW w:w="3192" w:type="dxa"/>
          </w:tcPr>
          <w:p w14:paraId="34DD5B5C"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70 – 99 % wt/wt</w:t>
            </w:r>
          </w:p>
        </w:tc>
      </w:tr>
      <w:tr w:rsidR="00365ADD" w14:paraId="3E536974" w14:textId="77777777" w:rsidTr="00365ADD">
        <w:tc>
          <w:tcPr>
            <w:tcW w:w="3192" w:type="dxa"/>
          </w:tcPr>
          <w:p w14:paraId="36DE14F5"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Zinc alkyl dithiophosphate</w:t>
            </w:r>
          </w:p>
        </w:tc>
        <w:tc>
          <w:tcPr>
            <w:tcW w:w="3192" w:type="dxa"/>
          </w:tcPr>
          <w:p w14:paraId="00D6D42C"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68649-42-3</w:t>
            </w:r>
          </w:p>
        </w:tc>
        <w:tc>
          <w:tcPr>
            <w:tcW w:w="3192" w:type="dxa"/>
          </w:tcPr>
          <w:p w14:paraId="4C96554E"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0.5 - &lt; 2.5 %wt/wt</w:t>
            </w:r>
          </w:p>
        </w:tc>
      </w:tr>
      <w:tr w:rsidR="00365ADD" w14:paraId="26D67EF9" w14:textId="77777777" w:rsidTr="00365ADD">
        <w:tc>
          <w:tcPr>
            <w:tcW w:w="3192" w:type="dxa"/>
          </w:tcPr>
          <w:p w14:paraId="21015D76" w14:textId="77777777" w:rsidR="00365ADD" w:rsidRDefault="00365ADD"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Branched alkylphenol and Calcium branc</w:t>
            </w:r>
            <w:r w:rsidR="00ED6C0C">
              <w:rPr>
                <w:rFonts w:ascii="Century Gothic" w:eastAsia="Times New Roman" w:hAnsi="Century Gothic" w:cs="Times New Roman"/>
                <w:sz w:val="24"/>
                <w:szCs w:val="24"/>
              </w:rPr>
              <w:t>h</w:t>
            </w:r>
            <w:r>
              <w:rPr>
                <w:rFonts w:ascii="Century Gothic" w:eastAsia="Times New Roman" w:hAnsi="Century Gothic" w:cs="Times New Roman"/>
                <w:sz w:val="24"/>
                <w:szCs w:val="24"/>
              </w:rPr>
              <w:t>ed alkylphenol</w:t>
            </w:r>
          </w:p>
        </w:tc>
        <w:tc>
          <w:tcPr>
            <w:tcW w:w="3192" w:type="dxa"/>
          </w:tcPr>
          <w:p w14:paraId="4C6B34EF" w14:textId="77777777" w:rsidR="00365ADD" w:rsidRDefault="00ED6C0C"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74499-35-7 &amp; 132752-19-3</w:t>
            </w:r>
          </w:p>
        </w:tc>
        <w:tc>
          <w:tcPr>
            <w:tcW w:w="3192" w:type="dxa"/>
          </w:tcPr>
          <w:p w14:paraId="47DA9016" w14:textId="77777777" w:rsidR="00365ADD" w:rsidRDefault="00ED6C0C" w:rsidP="00365ADD">
            <w:pPr>
              <w:rPr>
                <w:rFonts w:ascii="Century Gothic" w:eastAsia="Times New Roman" w:hAnsi="Century Gothic" w:cs="Times New Roman"/>
                <w:sz w:val="24"/>
                <w:szCs w:val="24"/>
              </w:rPr>
            </w:pPr>
            <w:r>
              <w:rPr>
                <w:rFonts w:ascii="Century Gothic" w:eastAsia="Times New Roman" w:hAnsi="Century Gothic" w:cs="Times New Roman"/>
                <w:sz w:val="24"/>
                <w:szCs w:val="24"/>
              </w:rPr>
              <w:t>0.1 – 1 %wt/wt</w:t>
            </w:r>
          </w:p>
        </w:tc>
      </w:tr>
    </w:tbl>
    <w:p w14:paraId="0DD1EE47" w14:textId="77777777" w:rsidR="00365ADD" w:rsidRDefault="00365ADD" w:rsidP="00365ADD">
      <w:pPr>
        <w:spacing w:after="0" w:line="240" w:lineRule="auto"/>
        <w:rPr>
          <w:rFonts w:ascii="Century Gothic" w:eastAsia="Times New Roman" w:hAnsi="Century Gothic" w:cs="Times New Roman"/>
          <w:sz w:val="24"/>
          <w:szCs w:val="24"/>
        </w:rPr>
      </w:pPr>
    </w:p>
    <w:p w14:paraId="49AEC8C6" w14:textId="77777777" w:rsidR="00365ADD" w:rsidRDefault="00365ADD" w:rsidP="00365ADD">
      <w:pPr>
        <w:spacing w:after="0" w:line="240" w:lineRule="auto"/>
        <w:rPr>
          <w:rFonts w:ascii="Century Gothic" w:eastAsia="Times New Roman" w:hAnsi="Century Gothic" w:cs="Arial"/>
          <w:color w:val="222222"/>
          <w:sz w:val="24"/>
          <w:szCs w:val="24"/>
        </w:rPr>
      </w:pPr>
    </w:p>
    <w:p w14:paraId="5159297F" w14:textId="77777777" w:rsidR="00297443" w:rsidRDefault="00297443" w:rsidP="00365ADD">
      <w:pPr>
        <w:spacing w:after="0" w:line="240" w:lineRule="auto"/>
        <w:rPr>
          <w:rFonts w:ascii="Century Gothic" w:eastAsia="Times New Roman" w:hAnsi="Century Gothic" w:cs="Arial"/>
          <w:color w:val="222222"/>
          <w:sz w:val="24"/>
          <w:szCs w:val="24"/>
        </w:rPr>
      </w:pPr>
    </w:p>
    <w:p w14:paraId="6499D79C" w14:textId="77777777" w:rsidR="00297443" w:rsidRDefault="00297443" w:rsidP="00365ADD">
      <w:pPr>
        <w:spacing w:after="0" w:line="240" w:lineRule="auto"/>
        <w:rPr>
          <w:rFonts w:ascii="Century Gothic" w:eastAsia="Times New Roman" w:hAnsi="Century Gothic" w:cs="Arial"/>
          <w:color w:val="222222"/>
          <w:sz w:val="24"/>
          <w:szCs w:val="24"/>
        </w:rPr>
      </w:pPr>
    </w:p>
    <w:p w14:paraId="7CF159C7" w14:textId="77777777" w:rsidR="00297443" w:rsidRDefault="00297443" w:rsidP="00365ADD">
      <w:pPr>
        <w:spacing w:after="0" w:line="240" w:lineRule="auto"/>
        <w:rPr>
          <w:rFonts w:ascii="Century Gothic" w:eastAsia="Times New Roman" w:hAnsi="Century Gothic" w:cs="Arial"/>
          <w:color w:val="222222"/>
          <w:sz w:val="24"/>
          <w:szCs w:val="24"/>
        </w:rPr>
      </w:pPr>
    </w:p>
    <w:p w14:paraId="520E2CE4" w14:textId="77777777" w:rsidR="00297443" w:rsidRDefault="00297443" w:rsidP="00365ADD">
      <w:pPr>
        <w:spacing w:after="0" w:line="240" w:lineRule="auto"/>
        <w:rPr>
          <w:rFonts w:ascii="Century Gothic" w:eastAsia="Times New Roman" w:hAnsi="Century Gothic" w:cs="Arial"/>
          <w:color w:val="222222"/>
          <w:sz w:val="24"/>
          <w:szCs w:val="24"/>
        </w:rPr>
      </w:pPr>
    </w:p>
    <w:p w14:paraId="04DCFB93" w14:textId="77777777" w:rsidR="00297443" w:rsidRDefault="00297443"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5CB93192"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2CABFA9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47AF8927" w14:textId="77777777" w:rsidR="00365ADD" w:rsidRDefault="00365ADD" w:rsidP="00365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br/>
        <w:t>First Aid: Eyes</w:t>
      </w:r>
    </w:p>
    <w:p w14:paraId="342D7236" w14:textId="77777777" w:rsidR="00297443" w:rsidRDefault="00297443" w:rsidP="00365ADD">
      <w:pPr>
        <w:spacing w:after="0" w:line="240" w:lineRule="auto"/>
        <w:rPr>
          <w:rFonts w:ascii="Century Gothic" w:eastAsia="Times New Roman" w:hAnsi="Century Gothic" w:cs="Times New Roman"/>
          <w:bCs/>
          <w:sz w:val="24"/>
          <w:szCs w:val="24"/>
        </w:rPr>
      </w:pPr>
      <w:r>
        <w:rPr>
          <w:rFonts w:ascii="Century Gothic" w:eastAsia="Times New Roman" w:hAnsi="Century Gothic" w:cs="Times New Roman"/>
          <w:bCs/>
          <w:sz w:val="24"/>
          <w:szCs w:val="24"/>
        </w:rPr>
        <w:t>No specific first aid measure required. As a precaution, remove contact lenses, if worn, and flush eyes with water.</w:t>
      </w:r>
    </w:p>
    <w:p w14:paraId="4E8361AD"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Skin</w:t>
      </w:r>
    </w:p>
    <w:p w14:paraId="2146FE72"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For skin contact, wash immediately with soap and water. </w:t>
      </w:r>
    </w:p>
    <w:p w14:paraId="3B9C11AA"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Ingestion</w:t>
      </w:r>
    </w:p>
    <w:p w14:paraId="6D5E6DB6" w14:textId="77777777" w:rsidR="00365ADD" w:rsidRDefault="00297443"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specific first aid measures are required. Do not induce vomiting. As a precaution, get medical advice. </w:t>
      </w:r>
    </w:p>
    <w:p w14:paraId="5AA3DFD8"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Inhalation</w:t>
      </w:r>
    </w:p>
    <w:p w14:paraId="5BCF3DB4" w14:textId="77777777" w:rsidR="00365ADD" w:rsidRDefault="00297443"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Not specific first air measures are required. If exposed to excessive levels of material in the air, move the exposed person to fresh air. Get medical attention if coughing or respiratory discomfort continues. </w:t>
      </w:r>
    </w:p>
    <w:p w14:paraId="387F133C"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Expected Acute and Delayed Symptoms</w:t>
      </w:r>
    </w:p>
    <w:p w14:paraId="7E11AD66"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073622A3"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Important Symptoms and Effects</w:t>
      </w:r>
    </w:p>
    <w:p w14:paraId="42DB6F00"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773E3E25"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Protection of First-Aiders</w:t>
      </w:r>
    </w:p>
    <w:p w14:paraId="29E307E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 additional information available.</w:t>
      </w:r>
    </w:p>
    <w:p w14:paraId="05B30981" w14:textId="77777777" w:rsidR="00365ADD" w:rsidRDefault="00365ADD" w:rsidP="00365ADD">
      <w:pPr>
        <w:spacing w:after="0" w:line="240" w:lineRule="auto"/>
        <w:rPr>
          <w:rFonts w:ascii="Century Gothic" w:eastAsia="Times New Roman" w:hAnsi="Century Gothic" w:cs="Times New Roman"/>
          <w:b/>
          <w:sz w:val="24"/>
          <w:szCs w:val="24"/>
        </w:rPr>
      </w:pPr>
      <w:r>
        <w:rPr>
          <w:rFonts w:ascii="Century Gothic" w:eastAsia="Times New Roman" w:hAnsi="Century Gothic" w:cs="Times New Roman"/>
          <w:b/>
          <w:sz w:val="24"/>
          <w:szCs w:val="24"/>
        </w:rPr>
        <w:t>First Aid: Notes to Physician</w:t>
      </w:r>
    </w:p>
    <w:p w14:paraId="40805282"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No additional information available </w:t>
      </w:r>
    </w:p>
    <w:p w14:paraId="15EA2B5B"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65ADD" w14:paraId="0B61544B"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538E0BA3" w14:textId="77777777" w:rsidR="00365ADD" w:rsidRDefault="00365ADD" w:rsidP="00897AA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2FEB8030" w14:textId="77777777" w:rsidR="00365ADD" w:rsidRDefault="00365ADD" w:rsidP="00365ADD">
      <w:pPr>
        <w:pStyle w:val="NoSpacing"/>
        <w:rPr>
          <w:rFonts w:ascii="Century Gothic" w:hAnsi="Century Gothic"/>
          <w:b/>
          <w:sz w:val="24"/>
          <w:szCs w:val="24"/>
        </w:rPr>
      </w:pPr>
      <w:r>
        <w:br/>
      </w:r>
      <w:r>
        <w:rPr>
          <w:rFonts w:ascii="Century Gothic" w:hAnsi="Century Gothic"/>
          <w:b/>
          <w:sz w:val="24"/>
          <w:szCs w:val="24"/>
        </w:rPr>
        <w:t>General Fire Hazards</w:t>
      </w:r>
    </w:p>
    <w:p w14:paraId="78A17B17" w14:textId="77777777" w:rsidR="00365ADD" w:rsidRDefault="00365ADD" w:rsidP="00365ADD">
      <w:pPr>
        <w:pStyle w:val="NoSpacing"/>
        <w:rPr>
          <w:rFonts w:ascii="Century Gothic" w:hAnsi="Century Gothic"/>
          <w:sz w:val="24"/>
          <w:szCs w:val="24"/>
        </w:rPr>
      </w:pPr>
      <w:r>
        <w:rPr>
          <w:rFonts w:ascii="Century Gothic" w:hAnsi="Century Gothic"/>
          <w:sz w:val="24"/>
          <w:szCs w:val="24"/>
        </w:rPr>
        <w:t>See Section 9 for Flammability Properties. Not a fire hazard</w:t>
      </w:r>
    </w:p>
    <w:p w14:paraId="65FC1066"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Hazardous Combustion Products</w:t>
      </w:r>
    </w:p>
    <w:p w14:paraId="120DFA64" w14:textId="77777777" w:rsidR="00365ADD" w:rsidRDefault="00365ADD" w:rsidP="00365ADD">
      <w:pPr>
        <w:pStyle w:val="NoSpacing"/>
        <w:rPr>
          <w:rFonts w:ascii="Century Gothic" w:hAnsi="Century Gothic"/>
          <w:sz w:val="24"/>
          <w:szCs w:val="24"/>
        </w:rPr>
      </w:pPr>
      <w:r>
        <w:rPr>
          <w:rFonts w:ascii="Century Gothic" w:hAnsi="Century Gothic"/>
          <w:sz w:val="24"/>
          <w:szCs w:val="24"/>
        </w:rPr>
        <w:t>Flammable/poisonous gases may be released upon combustion.</w:t>
      </w:r>
    </w:p>
    <w:p w14:paraId="3D4B7FEE"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Extinguishing Media </w:t>
      </w:r>
    </w:p>
    <w:p w14:paraId="1477B0BE" w14:textId="77777777" w:rsidR="00365ADD" w:rsidRDefault="00365ADD" w:rsidP="00365ADD">
      <w:pPr>
        <w:pStyle w:val="NoSpacing"/>
        <w:rPr>
          <w:rFonts w:ascii="Century Gothic" w:hAnsi="Century Gothic"/>
          <w:sz w:val="24"/>
          <w:szCs w:val="24"/>
        </w:rPr>
      </w:pPr>
      <w:r>
        <w:rPr>
          <w:rFonts w:ascii="Century Gothic" w:hAnsi="Century Gothic"/>
          <w:sz w:val="24"/>
          <w:szCs w:val="24"/>
        </w:rPr>
        <w:t>Dry chemical, foam, carbon dioxide. Water fogs should be used to cool containers exposed to extreme heat.</w:t>
      </w:r>
    </w:p>
    <w:p w14:paraId="4EC43659"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Unsuitable Extinguishing Media</w:t>
      </w:r>
    </w:p>
    <w:p w14:paraId="5865DF8E" w14:textId="77777777" w:rsidR="00365ADD" w:rsidRDefault="00365ADD" w:rsidP="00365ADD">
      <w:pPr>
        <w:pStyle w:val="NoSpacing"/>
        <w:rPr>
          <w:rFonts w:ascii="Century Gothic" w:hAnsi="Century Gothic"/>
          <w:sz w:val="24"/>
          <w:szCs w:val="24"/>
        </w:rPr>
      </w:pPr>
      <w:r>
        <w:rPr>
          <w:rFonts w:ascii="Century Gothic" w:hAnsi="Century Gothic"/>
          <w:sz w:val="24"/>
          <w:szCs w:val="24"/>
        </w:rPr>
        <w:t>None identified</w:t>
      </w:r>
    </w:p>
    <w:p w14:paraId="573E21A7"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Fire Fighting Equipment/Instructions </w:t>
      </w:r>
    </w:p>
    <w:p w14:paraId="059DE00F" w14:textId="77777777" w:rsidR="00365ADD" w:rsidRDefault="00365ADD" w:rsidP="00365ADD">
      <w:pPr>
        <w:pStyle w:val="NoSpacing"/>
        <w:rPr>
          <w:rFonts w:ascii="Century Gothic" w:hAnsi="Century Gothic"/>
          <w:sz w:val="24"/>
          <w:szCs w:val="24"/>
        </w:rPr>
      </w:pPr>
      <w:r>
        <w:rPr>
          <w:rFonts w:ascii="Century Gothic" w:hAnsi="Century Gothic"/>
          <w:sz w:val="24"/>
          <w:szCs w:val="24"/>
        </w:rPr>
        <w:t>Wear full protective clothing, including helmet, self-contained positive pressure or pressure demand breathing apparatus, protective clothing and face mask. Remove all individuals from area who are not properly trained in firefighting.</w:t>
      </w:r>
    </w:p>
    <w:p w14:paraId="14A95181" w14:textId="77777777" w:rsidR="00365ADD" w:rsidRDefault="00365ADD" w:rsidP="00365ADD">
      <w:pPr>
        <w:pStyle w:val="NoSpacing"/>
        <w:rPr>
          <w:rFonts w:ascii="Century Gothic" w:hAnsi="Century Gothic"/>
          <w:sz w:val="24"/>
          <w:szCs w:val="24"/>
        </w:rPr>
      </w:pPr>
    </w:p>
    <w:p w14:paraId="3EA8823A" w14:textId="77777777" w:rsidR="00365ADD" w:rsidRDefault="00365ADD" w:rsidP="00365ADD">
      <w:pPr>
        <w:pStyle w:val="NoSpacing"/>
        <w:rPr>
          <w:rFonts w:ascii="Century Gothic" w:hAnsi="Century Gothic"/>
          <w:sz w:val="24"/>
          <w:szCs w:val="24"/>
        </w:rPr>
      </w:pPr>
      <w:r>
        <w:rPr>
          <w:rFonts w:ascii="Century Gothic" w:hAnsi="Century Gothic"/>
          <w:b/>
          <w:sz w:val="24"/>
          <w:szCs w:val="24"/>
        </w:rPr>
        <w:t>NFPA Ratings: Health:</w:t>
      </w:r>
      <w:r>
        <w:rPr>
          <w:rFonts w:ascii="Century Gothic" w:hAnsi="Century Gothic"/>
          <w:sz w:val="24"/>
          <w:szCs w:val="24"/>
        </w:rPr>
        <w:t xml:space="preserve"> 1 </w:t>
      </w:r>
      <w:r>
        <w:rPr>
          <w:rFonts w:ascii="Century Gothic" w:hAnsi="Century Gothic"/>
          <w:b/>
          <w:sz w:val="24"/>
          <w:szCs w:val="24"/>
        </w:rPr>
        <w:t>Fire:</w:t>
      </w:r>
      <w:r>
        <w:rPr>
          <w:rFonts w:ascii="Century Gothic" w:hAnsi="Century Gothic"/>
          <w:sz w:val="24"/>
          <w:szCs w:val="24"/>
        </w:rPr>
        <w:t xml:space="preserve"> 1 </w:t>
      </w:r>
      <w:r>
        <w:rPr>
          <w:rFonts w:ascii="Century Gothic" w:hAnsi="Century Gothic"/>
          <w:b/>
          <w:sz w:val="24"/>
          <w:szCs w:val="24"/>
        </w:rPr>
        <w:t>Reactivity:</w:t>
      </w:r>
      <w:r>
        <w:rPr>
          <w:rFonts w:ascii="Century Gothic" w:hAnsi="Century Gothic"/>
          <w:sz w:val="24"/>
          <w:szCs w:val="24"/>
        </w:rPr>
        <w:t xml:space="preserve"> 0</w:t>
      </w:r>
    </w:p>
    <w:p w14:paraId="6198C608"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Hazard Scale: 0= Minimal 1=Slight 2=Moderate 3=Serious 4=Severe </w:t>
      </w:r>
    </w:p>
    <w:p w14:paraId="3CF20E61" w14:textId="77777777" w:rsidR="00365ADD" w:rsidRDefault="00365ADD" w:rsidP="00365ADD">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182CF32"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2D1E612D"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2536E75" w14:textId="77777777" w:rsidR="00365ADD" w:rsidRDefault="00365ADD" w:rsidP="00365ADD">
      <w:pPr>
        <w:pStyle w:val="NoSpacing"/>
        <w:rPr>
          <w:rFonts w:ascii="Century Gothic" w:hAnsi="Century Gothic"/>
          <w:b/>
          <w:sz w:val="24"/>
          <w:szCs w:val="24"/>
        </w:rPr>
      </w:pPr>
      <w:r>
        <w:br/>
      </w:r>
      <w:r>
        <w:rPr>
          <w:rFonts w:ascii="Century Gothic" w:hAnsi="Century Gothic"/>
          <w:b/>
          <w:sz w:val="24"/>
          <w:szCs w:val="24"/>
        </w:rPr>
        <w:t>Recovery and Neutralization</w:t>
      </w:r>
    </w:p>
    <w:p w14:paraId="25C14850" w14:textId="77777777" w:rsidR="00365ADD" w:rsidRDefault="00365ADD" w:rsidP="00365ADD">
      <w:pPr>
        <w:pStyle w:val="NoSpacing"/>
        <w:rPr>
          <w:rFonts w:ascii="Century Gothic" w:hAnsi="Century Gothic"/>
          <w:sz w:val="24"/>
          <w:szCs w:val="24"/>
        </w:rPr>
      </w:pPr>
      <w:r>
        <w:rPr>
          <w:rFonts w:ascii="Century Gothic" w:hAnsi="Century Gothic"/>
          <w:sz w:val="24"/>
          <w:szCs w:val="24"/>
        </w:rPr>
        <w:t>Dike the spilled material, where this is possible. Stop the flow of material, if this is without risk.</w:t>
      </w:r>
    </w:p>
    <w:p w14:paraId="02FFE0D2"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Materials and Methods for Clean-Up</w:t>
      </w:r>
    </w:p>
    <w:p w14:paraId="2D609984"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Absorb spill with inert material. Shovel material into appropriate container for disposal. </w:t>
      </w:r>
    </w:p>
    <w:p w14:paraId="6DEE2825"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Emergency Measures</w:t>
      </w:r>
    </w:p>
    <w:p w14:paraId="6486FBB4" w14:textId="77777777" w:rsidR="00365ADD" w:rsidRDefault="00365ADD" w:rsidP="00365ADD">
      <w:pPr>
        <w:pStyle w:val="NoSpacing"/>
        <w:rPr>
          <w:rFonts w:ascii="Century Gothic" w:hAnsi="Century Gothic"/>
          <w:sz w:val="24"/>
          <w:szCs w:val="24"/>
        </w:rPr>
      </w:pPr>
      <w:r>
        <w:rPr>
          <w:rFonts w:ascii="Century Gothic" w:hAnsi="Century Gothic"/>
          <w:sz w:val="24"/>
          <w:szCs w:val="24"/>
        </w:rPr>
        <w:t>In case of large spills, follow all facility emergency response procedures.</w:t>
      </w:r>
    </w:p>
    <w:p w14:paraId="29730BF9"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Personal Precautions and Protective Equipment </w:t>
      </w:r>
    </w:p>
    <w:p w14:paraId="3D9F124B" w14:textId="77777777" w:rsidR="00365ADD" w:rsidRDefault="00365ADD" w:rsidP="00365ADD">
      <w:pPr>
        <w:pStyle w:val="NoSpacing"/>
        <w:rPr>
          <w:rFonts w:ascii="Century Gothic" w:hAnsi="Century Gothic"/>
          <w:sz w:val="24"/>
          <w:szCs w:val="24"/>
        </w:rPr>
      </w:pPr>
      <w:r>
        <w:rPr>
          <w:rFonts w:ascii="Century Gothic" w:hAnsi="Century Gothic"/>
          <w:sz w:val="24"/>
          <w:szCs w:val="24"/>
        </w:rPr>
        <w:t>Remove all individuals from area who have not been properly trained in emergency medical response.</w:t>
      </w:r>
    </w:p>
    <w:p w14:paraId="1A8DA1FD"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Environmental Precautions</w:t>
      </w:r>
    </w:p>
    <w:p w14:paraId="468C191D"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This product may be classified as oil under section III of the Clean Water Act. Spills entering surface waters or any water courses or sewers entering surface waters that cause a sheen, must be reported to the Coast Guard toll free number (800)424-8802. In case of accident or road spill, notify Chemtrec, (800)424-9300. </w:t>
      </w:r>
    </w:p>
    <w:p w14:paraId="07AC3BD7"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Prevention of Secondary Hazards</w:t>
      </w:r>
    </w:p>
    <w:p w14:paraId="75805376" w14:textId="77777777" w:rsidR="00365ADD" w:rsidRDefault="00365ADD" w:rsidP="00365ADD">
      <w:pPr>
        <w:pStyle w:val="NoSpacing"/>
        <w:rPr>
          <w:rFonts w:ascii="Century Gothic" w:hAnsi="Century Gothic"/>
          <w:sz w:val="24"/>
          <w:szCs w:val="24"/>
        </w:rPr>
      </w:pPr>
      <w:r>
        <w:rPr>
          <w:rFonts w:ascii="Century Gothic" w:hAnsi="Century Gothic"/>
          <w:sz w:val="24"/>
          <w:szCs w:val="24"/>
        </w:rPr>
        <w:t>No additional information available.</w:t>
      </w:r>
    </w:p>
    <w:p w14:paraId="570EC416" w14:textId="77777777" w:rsidR="00365ADD" w:rsidRDefault="00365ADD" w:rsidP="00365ADD">
      <w:pPr>
        <w:pStyle w:val="NoSpacing"/>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53F3851E"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6C856152"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4046B354" w14:textId="77777777" w:rsidR="00365ADD" w:rsidRDefault="00365ADD" w:rsidP="00365ADD">
      <w:pPr>
        <w:pStyle w:val="NoSpacing"/>
        <w:rPr>
          <w:rFonts w:ascii="Century Gothic" w:hAnsi="Century Gothic"/>
          <w:b/>
          <w:sz w:val="24"/>
          <w:szCs w:val="24"/>
        </w:rPr>
      </w:pPr>
      <w:r>
        <w:br/>
      </w:r>
      <w:r>
        <w:rPr>
          <w:rFonts w:ascii="Century Gothic" w:hAnsi="Century Gothic"/>
          <w:b/>
          <w:sz w:val="24"/>
          <w:szCs w:val="24"/>
        </w:rPr>
        <w:t>Handling Procedures</w:t>
      </w:r>
    </w:p>
    <w:p w14:paraId="735A78C7"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Eating, drinking, and smoking should be prohibited in areas where this material is handled, stored and processed. Workers should wash hands and face before eating, drinking, and smoking. Remove contaminated clothing and protective equipment before entering eating areas. Do not get in eyes or on skin or clothing. Do not ingest. Avoid breathing vapor or mist. Use only with adequate ventilation. Use non-sparking tools. </w:t>
      </w:r>
    </w:p>
    <w:p w14:paraId="70D84D45" w14:textId="77777777" w:rsidR="00365ADD" w:rsidRDefault="00365ADD" w:rsidP="00365ADD">
      <w:pPr>
        <w:pStyle w:val="NoSpacing"/>
        <w:rPr>
          <w:rFonts w:ascii="Century Gothic" w:hAnsi="Century Gothic"/>
          <w:sz w:val="24"/>
          <w:szCs w:val="24"/>
        </w:rPr>
      </w:pPr>
    </w:p>
    <w:p w14:paraId="35194E52"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 xml:space="preserve">Shipping and Storing Procedures </w:t>
      </w:r>
    </w:p>
    <w:p w14:paraId="26DE7C2D" w14:textId="77777777" w:rsidR="00365ADD" w:rsidRDefault="00365ADD" w:rsidP="00365ADD">
      <w:pPr>
        <w:pStyle w:val="NoSpacing"/>
        <w:rPr>
          <w:rFonts w:ascii="Century Gothic" w:hAnsi="Century Gothic"/>
          <w:sz w:val="24"/>
          <w:szCs w:val="24"/>
        </w:rPr>
      </w:pPr>
      <w:r>
        <w:rPr>
          <w:rFonts w:ascii="Century Gothic" w:hAnsi="Century Gothic"/>
          <w:sz w:val="24"/>
          <w:szCs w:val="24"/>
        </w:rPr>
        <w:t xml:space="preserve">Keep container tightly closed in a dry and well-ventilated place. Keep away from heat. Protect from light. Keep in properly labeled containers. Keep out of reach of children. </w:t>
      </w:r>
    </w:p>
    <w:p w14:paraId="404EA2C3" w14:textId="77777777" w:rsidR="00365ADD" w:rsidRDefault="00365ADD" w:rsidP="00365ADD">
      <w:pPr>
        <w:pStyle w:val="NoSpacing"/>
        <w:rPr>
          <w:rFonts w:ascii="Century Gothic" w:hAnsi="Century Gothic"/>
          <w:sz w:val="24"/>
          <w:szCs w:val="24"/>
        </w:rPr>
      </w:pPr>
    </w:p>
    <w:p w14:paraId="23C6F992" w14:textId="77777777" w:rsidR="00365ADD" w:rsidRDefault="00365ADD" w:rsidP="00365ADD">
      <w:pPr>
        <w:pStyle w:val="NoSpacing"/>
        <w:rPr>
          <w:rFonts w:ascii="Century Gothic" w:hAnsi="Century Gothic"/>
          <w:b/>
          <w:sz w:val="24"/>
          <w:szCs w:val="24"/>
        </w:rPr>
      </w:pPr>
      <w:r>
        <w:rPr>
          <w:rFonts w:ascii="Century Gothic" w:hAnsi="Century Gothic"/>
          <w:b/>
          <w:sz w:val="24"/>
          <w:szCs w:val="24"/>
        </w:rPr>
        <w:t>Incompatibilities:</w:t>
      </w:r>
    </w:p>
    <w:p w14:paraId="23610AA4" w14:textId="77777777" w:rsidR="00365ADD" w:rsidRDefault="00365ADD" w:rsidP="00365ADD">
      <w:pPr>
        <w:pStyle w:val="NoSpacing"/>
        <w:rPr>
          <w:rFonts w:ascii="Century Gothic" w:hAnsi="Century Gothic"/>
          <w:sz w:val="24"/>
          <w:szCs w:val="24"/>
        </w:rPr>
      </w:pPr>
      <w:r>
        <w:rPr>
          <w:rFonts w:ascii="Century Gothic" w:hAnsi="Century Gothic"/>
          <w:sz w:val="24"/>
          <w:szCs w:val="24"/>
        </w:rPr>
        <w:t>Oxidizing Agents</w:t>
      </w:r>
    </w:p>
    <w:p w14:paraId="5CE1FCAF" w14:textId="77777777" w:rsidR="00365ADD" w:rsidRDefault="00365ADD" w:rsidP="00365ADD">
      <w:pPr>
        <w:pStyle w:val="NoSpacing"/>
        <w:rPr>
          <w:rFonts w:ascii="Century Gothic"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FC63E39"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64A7ADD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34DCE00" w14:textId="77777777" w:rsidR="00365ADD" w:rsidRDefault="00365ADD" w:rsidP="00365ADD">
      <w:pPr>
        <w:spacing w:after="0" w:line="240" w:lineRule="auto"/>
        <w:rPr>
          <w:rFonts w:ascii="Century Gothic" w:eastAsia="Times New Roman" w:hAnsi="Century Gothic" w:cs="Times New Roman"/>
          <w:sz w:val="24"/>
          <w:szCs w:val="24"/>
        </w:rPr>
      </w:pPr>
    </w:p>
    <w:p w14:paraId="1AE49FCF" w14:textId="77777777" w:rsidR="00365ADD" w:rsidRDefault="00365ADD" w:rsidP="00365ADD">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lastRenderedPageBreak/>
        <w:t>Component Exposure Limits</w:t>
      </w:r>
    </w:p>
    <w:p w14:paraId="4FD37874" w14:textId="77777777" w:rsidR="00365ADD" w:rsidRDefault="00365ADD" w:rsidP="00365ADD">
      <w:pPr>
        <w:spacing w:after="0" w:line="240" w:lineRule="auto"/>
        <w:rPr>
          <w:rFonts w:ascii="Century Gothic" w:eastAsia="Times New Roman" w:hAnsi="Century Gothic" w:cs="Times New Roman"/>
          <w:sz w:val="24"/>
          <w:szCs w:val="24"/>
        </w:rPr>
      </w:pPr>
    </w:p>
    <w:p w14:paraId="7EC0D31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Engineering Controls:</w:t>
      </w:r>
      <w:r>
        <w:rPr>
          <w:rFonts w:ascii="Century Gothic" w:eastAsia="Times New Roman" w:hAnsi="Century Gothic" w:cs="Times New Roman"/>
          <w:sz w:val="24"/>
          <w:szCs w:val="24"/>
        </w:rPr>
        <w:t xml:space="preserve"> Use process enclosures, local exhaust ventilation or other engineering controls to keep worker exposure to airbone contaminants below any recommended or statutory limits.</w:t>
      </w:r>
    </w:p>
    <w:p w14:paraId="466E9768" w14:textId="77777777" w:rsidR="00365ADD" w:rsidRDefault="00365ADD" w:rsidP="00365ADD">
      <w:pPr>
        <w:spacing w:after="0" w:line="240" w:lineRule="auto"/>
        <w:rPr>
          <w:rFonts w:ascii="Century Gothic" w:eastAsia="Times New Roman" w:hAnsi="Century Gothic" w:cs="Times New Roman"/>
          <w:sz w:val="24"/>
          <w:szCs w:val="24"/>
        </w:rPr>
      </w:pPr>
    </w:p>
    <w:p w14:paraId="1BB3556A"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Eye/Fact Protection:</w:t>
      </w:r>
      <w:r>
        <w:rPr>
          <w:rFonts w:ascii="Century Gothic" w:eastAsia="Times New Roman" w:hAnsi="Century Gothic" w:cs="Times New Roman"/>
          <w:sz w:val="24"/>
          <w:szCs w:val="24"/>
        </w:rPr>
        <w:t xml:space="preserve"> Safety Glasses</w:t>
      </w:r>
    </w:p>
    <w:p w14:paraId="49E074CF" w14:textId="77777777" w:rsidR="00365ADD" w:rsidRDefault="00365ADD" w:rsidP="00365ADD">
      <w:pPr>
        <w:spacing w:after="0" w:line="240" w:lineRule="auto"/>
        <w:rPr>
          <w:rFonts w:ascii="Century Gothic" w:eastAsia="Times New Roman" w:hAnsi="Century Gothic" w:cs="Times New Roman"/>
          <w:sz w:val="24"/>
          <w:szCs w:val="24"/>
        </w:rPr>
      </w:pPr>
    </w:p>
    <w:p w14:paraId="42EE16F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Skin Protection</w:t>
      </w:r>
      <w:r>
        <w:rPr>
          <w:rFonts w:ascii="Century Gothic" w:eastAsia="Times New Roman" w:hAnsi="Century Gothic" w:cs="Times New Roman"/>
          <w:sz w:val="24"/>
          <w:szCs w:val="24"/>
        </w:rPr>
        <w:t xml:space="preserve">: Normal work gloves are appropriate </w:t>
      </w:r>
    </w:p>
    <w:p w14:paraId="42F405E7" w14:textId="77777777" w:rsidR="00365ADD" w:rsidRDefault="00365ADD" w:rsidP="00365ADD">
      <w:pPr>
        <w:spacing w:after="0" w:line="240" w:lineRule="auto"/>
        <w:rPr>
          <w:rFonts w:ascii="Century Gothic" w:eastAsia="Times New Roman" w:hAnsi="Century Gothic" w:cs="Times New Roman"/>
          <w:sz w:val="24"/>
          <w:szCs w:val="24"/>
        </w:rPr>
      </w:pPr>
    </w:p>
    <w:p w14:paraId="269358A5"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Respiratory Protection:</w:t>
      </w:r>
      <w:r>
        <w:rPr>
          <w:rFonts w:ascii="Century Gothic" w:eastAsia="Times New Roman" w:hAnsi="Century Gothic" w:cs="Times New Roman"/>
          <w:sz w:val="24"/>
          <w:szCs w:val="24"/>
        </w:rPr>
        <w:t xml:space="preserve"> Use a properly fitted, air-purifying or air-fed respirator complying with an approved standard if a risk assessment indicated this is necessary. Respirator selection must be based on known or anticipated exposure levels. </w:t>
      </w:r>
    </w:p>
    <w:p w14:paraId="7DBC70BA" w14:textId="77777777" w:rsidR="00365ADD" w:rsidRDefault="00365ADD" w:rsidP="00365ADD">
      <w:pPr>
        <w:spacing w:after="0" w:line="240" w:lineRule="auto"/>
        <w:rPr>
          <w:rFonts w:ascii="Century Gothic" w:eastAsia="Times New Roman" w:hAnsi="Century Gothic" w:cs="Times New Roman"/>
          <w:sz w:val="24"/>
          <w:szCs w:val="24"/>
        </w:rPr>
      </w:pPr>
    </w:p>
    <w:p w14:paraId="413D980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sz w:val="24"/>
          <w:szCs w:val="24"/>
        </w:rPr>
        <w:t>General Hygiene:</w:t>
      </w:r>
      <w:r>
        <w:rPr>
          <w:rFonts w:ascii="Century Gothic" w:eastAsia="Times New Roman" w:hAnsi="Century Gothic" w:cs="Times New Roman"/>
          <w:sz w:val="24"/>
          <w:szCs w:val="24"/>
        </w:rPr>
        <w:t xml:space="preserve"> Wash hands, forearms and face thoroughly after handling chemical products, before eating, smoking and using the lavatory and at the end of the working period. Appropriate techniques should be used to remove potentially contained clothing.  </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74DFD2F"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72FDA27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55F69AA9"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GENERAL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Physical State:</w:t>
      </w:r>
      <w:r>
        <w:rPr>
          <w:rFonts w:ascii="Century Gothic" w:eastAsia="Times New Roman" w:hAnsi="Century Gothic" w:cs="Times New Roman"/>
          <w:sz w:val="24"/>
          <w:szCs w:val="24"/>
        </w:rPr>
        <w:t xml:space="preserve"> Liquid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Color:</w:t>
      </w:r>
      <w:r>
        <w:rPr>
          <w:rFonts w:ascii="Century Gothic" w:eastAsia="Times New Roman" w:hAnsi="Century Gothic" w:cs="Times New Roman"/>
          <w:sz w:val="24"/>
          <w:szCs w:val="24"/>
        </w:rPr>
        <w:t xml:space="preserve"> Amber</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w:t>
      </w:r>
      <w:r>
        <w:rPr>
          <w:rFonts w:ascii="Century Gothic" w:eastAsia="Times New Roman" w:hAnsi="Century Gothic" w:cs="Times New Roman"/>
          <w:sz w:val="24"/>
          <w:szCs w:val="24"/>
        </w:rPr>
        <w:t xml:space="preserve"> </w:t>
      </w:r>
      <w:r w:rsidR="00C01C89">
        <w:rPr>
          <w:rFonts w:ascii="Century Gothic" w:eastAsia="Times New Roman" w:hAnsi="Century Gothic" w:cs="Times New Roman"/>
          <w:sz w:val="24"/>
          <w:szCs w:val="24"/>
        </w:rPr>
        <w:t>Petroleum odor</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Odor Threshold:</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IMPORTANT HEALTH, SAFETY, AND ENVIRONMENTAL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Relative Density (at 15°C):</w:t>
      </w:r>
      <w:r w:rsidR="00C01C89">
        <w:rPr>
          <w:rFonts w:ascii="Century Gothic" w:eastAsia="Times New Roman" w:hAnsi="Century Gothic" w:cs="Times New Roman"/>
          <w:sz w:val="24"/>
          <w:szCs w:val="24"/>
        </w:rPr>
        <w:t xml:space="preserve"> 0.87-0.89 kg/l</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Flammability (Solid, Gas):</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Flash Point [Method]:</w:t>
      </w:r>
      <w:r>
        <w:rPr>
          <w:rFonts w:ascii="Century Gothic" w:eastAsia="Times New Roman" w:hAnsi="Century Gothic" w:cs="Times New Roman"/>
          <w:sz w:val="24"/>
          <w:szCs w:val="24"/>
        </w:rPr>
        <w:t xml:space="preserve"> </w:t>
      </w:r>
      <w:r w:rsidR="00C01C89">
        <w:rPr>
          <w:rFonts w:ascii="Century Gothic" w:eastAsia="Times New Roman" w:hAnsi="Century Gothic" w:cs="Times New Roman"/>
          <w:sz w:val="24"/>
          <w:szCs w:val="24"/>
        </w:rPr>
        <w:t>190°C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Flammable Limits (Approximate volume % in air):</w:t>
      </w:r>
      <w:r>
        <w:rPr>
          <w:rFonts w:ascii="Century Gothic" w:eastAsia="Times New Roman" w:hAnsi="Century Gothic" w:cs="Times New Roman"/>
          <w:sz w:val="24"/>
          <w:szCs w:val="24"/>
        </w:rPr>
        <w:t xml:space="preserve"> LEL: 0.9 UEL: 7.0</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Autoignition Temperature: </w:t>
      </w:r>
      <w:r>
        <w:rPr>
          <w:rFonts w:ascii="Century Gothic" w:eastAsia="Times New Roman" w:hAnsi="Century Gothic" w:cs="Times New Roman"/>
          <w:sz w:val="24"/>
          <w:szCs w:val="24"/>
        </w:rPr>
        <w:t>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Boiling Point / Range:</w:t>
      </w:r>
      <w:r w:rsidR="00C01C89">
        <w:rPr>
          <w:rFonts w:ascii="Century Gothic" w:eastAsia="Times New Roman" w:hAnsi="Century Gothic" w:cs="Times New Roman"/>
          <w:sz w:val="24"/>
          <w:szCs w:val="24"/>
        </w:rPr>
        <w:t xml:space="preserve"> &gt;315°C (599</w:t>
      </w:r>
      <w:r>
        <w:rPr>
          <w:rFonts w:ascii="Century Gothic" w:eastAsia="Times New Roman" w:hAnsi="Century Gothic" w:cs="Times New Roman"/>
          <w:sz w:val="24"/>
          <w:szCs w:val="24"/>
        </w:rPr>
        <w:t>°F)</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Decomposition Temperature</w:t>
      </w:r>
      <w:r>
        <w:rPr>
          <w:rFonts w:ascii="Century Gothic" w:eastAsia="Times New Roman" w:hAnsi="Century Gothic" w:cs="Times New Roman"/>
          <w:sz w:val="24"/>
          <w:szCs w:val="24"/>
        </w:rPr>
        <w:t>: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Vapor Density (Air = 1): </w:t>
      </w:r>
      <w:r>
        <w:rPr>
          <w:rFonts w:ascii="Century Gothic" w:eastAsia="Times New Roman" w:hAnsi="Century Gothic" w:cs="Times New Roman"/>
          <w:sz w:val="24"/>
          <w:szCs w:val="24"/>
        </w:rPr>
        <w:t>&gt; 2 at kPa (0.1 mm Hg) at 20°C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Vapor Pressure:</w:t>
      </w:r>
      <w:r>
        <w:rPr>
          <w:rFonts w:ascii="Century Gothic" w:eastAsia="Times New Roman" w:hAnsi="Century Gothic" w:cs="Times New Roman"/>
          <w:sz w:val="24"/>
          <w:szCs w:val="24"/>
        </w:rPr>
        <w:t xml:space="preserve"> &lt; 0.013 kPa (0.1 mm Hg) at 20 °C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Evaporation Rate (n-butyl acetate = 1):</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pH:</w:t>
      </w:r>
      <w:r>
        <w:rPr>
          <w:rFonts w:ascii="Century Gothic" w:eastAsia="Times New Roman" w:hAnsi="Century Gothic" w:cs="Times New Roman"/>
          <w:sz w:val="24"/>
          <w:szCs w:val="24"/>
        </w:rPr>
        <w:t xml:space="preserve"> 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Log Pow (n-Octanol/Water Partition Coefficient):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Solubility in Water:</w:t>
      </w:r>
      <w:r>
        <w:rPr>
          <w:rFonts w:ascii="Century Gothic" w:eastAsia="Times New Roman" w:hAnsi="Century Gothic" w:cs="Times New Roman"/>
          <w:sz w:val="24"/>
          <w:szCs w:val="24"/>
        </w:rPr>
        <w:t xml:space="preserve">   Negligible</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Viscosity:</w:t>
      </w:r>
      <w:r>
        <w:rPr>
          <w:rFonts w:ascii="Century Gothic" w:eastAsia="Times New Roman" w:hAnsi="Century Gothic" w:cs="Times New Roman"/>
          <w:sz w:val="24"/>
          <w:szCs w:val="24"/>
        </w:rPr>
        <w:t xml:space="preserve">  </w:t>
      </w:r>
      <w:r w:rsidR="00C01C89">
        <w:rPr>
          <w:rFonts w:ascii="Century Gothic" w:eastAsia="Times New Roman" w:hAnsi="Century Gothic" w:cs="Times New Roman"/>
          <w:sz w:val="24"/>
          <w:szCs w:val="24"/>
        </w:rPr>
        <w:t>6-26 mm2/ @ 100°C</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Oxidizing Properties:</w:t>
      </w:r>
      <w:r>
        <w:rPr>
          <w:rFonts w:ascii="Century Gothic" w:eastAsia="Times New Roman" w:hAnsi="Century Gothic" w:cs="Times New Roman"/>
          <w:sz w:val="24"/>
          <w:szCs w:val="24"/>
        </w:rPr>
        <w:t xml:space="preserve"> See Hazards Identification Section.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OTHER INFORMATION</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Freezing Point:</w:t>
      </w:r>
      <w:r>
        <w:rPr>
          <w:rFonts w:ascii="Century Gothic" w:eastAsia="Times New Roman" w:hAnsi="Century Gothic" w:cs="Times New Roman"/>
          <w:sz w:val="24"/>
          <w:szCs w:val="24"/>
        </w:rPr>
        <w:t xml:space="preserve"> N/D</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Melting Point: </w:t>
      </w:r>
      <w:r>
        <w:rPr>
          <w:rFonts w:ascii="Century Gothic" w:eastAsia="Times New Roman" w:hAnsi="Century Gothic" w:cs="Times New Roman"/>
          <w:sz w:val="24"/>
          <w:szCs w:val="24"/>
        </w:rPr>
        <w:t>N/A</w:t>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Pour Point:</w:t>
      </w:r>
      <w:r>
        <w:rPr>
          <w:rFonts w:ascii="Century Gothic" w:eastAsia="Times New Roman" w:hAnsi="Century Gothic" w:cs="Times New Roman"/>
          <w:sz w:val="24"/>
          <w:szCs w:val="24"/>
        </w:rPr>
        <w:t xml:space="preserve"> </w:t>
      </w:r>
    </w:p>
    <w:p w14:paraId="70983423"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DMSO Extract (mineral oil only), IP-346:</w:t>
      </w:r>
      <w:r>
        <w:rPr>
          <w:rFonts w:ascii="Century Gothic" w:eastAsia="Times New Roman" w:hAnsi="Century Gothic" w:cs="Times New Roman"/>
          <w:sz w:val="24"/>
          <w:szCs w:val="24"/>
        </w:rPr>
        <w:t xml:space="preserve"> &lt; 3 % wt</w:t>
      </w:r>
    </w:p>
    <w:p w14:paraId="1A150E64"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082F0038"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34D5C68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0E281487"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REACTIVITY:</w:t>
      </w:r>
      <w:r>
        <w:rPr>
          <w:rFonts w:ascii="Century Gothic" w:eastAsia="Times New Roman" w:hAnsi="Century Gothic" w:cs="Times New Roman"/>
          <w:sz w:val="24"/>
          <w:szCs w:val="24"/>
        </w:rPr>
        <w:t xml:space="preserve"> See sub-sections below.</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 xml:space="preserve">STABILITY: </w:t>
      </w:r>
      <w:r>
        <w:rPr>
          <w:rFonts w:ascii="Century Gothic" w:eastAsia="Times New Roman" w:hAnsi="Century Gothic" w:cs="Times New Roman"/>
          <w:sz w:val="24"/>
          <w:szCs w:val="24"/>
        </w:rPr>
        <w:t>Material is stable under normal conditions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CONDITIONS TO AVOID:</w:t>
      </w:r>
      <w:r>
        <w:rPr>
          <w:rFonts w:ascii="Century Gothic" w:eastAsia="Times New Roman" w:hAnsi="Century Gothic" w:cs="Times New Roman"/>
          <w:sz w:val="24"/>
          <w:szCs w:val="24"/>
        </w:rPr>
        <w:t xml:space="preserve"> Excessive heat. High energy sources of ignition.</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MATERIALS TO AVOID:</w:t>
      </w:r>
      <w:r>
        <w:rPr>
          <w:rFonts w:ascii="Century Gothic" w:eastAsia="Times New Roman" w:hAnsi="Century Gothic" w:cs="Times New Roman"/>
          <w:sz w:val="24"/>
          <w:szCs w:val="24"/>
        </w:rPr>
        <w:t xml:space="preserve"> Strong oxidizers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HAZARDOUS DECOMPOSITION PRODUCTS:</w:t>
      </w:r>
      <w:r>
        <w:rPr>
          <w:rFonts w:ascii="Century Gothic" w:eastAsia="Times New Roman" w:hAnsi="Century Gothic" w:cs="Times New Roman"/>
          <w:sz w:val="24"/>
          <w:szCs w:val="24"/>
        </w:rPr>
        <w:t xml:space="preserve"> Material does not decompose at ambient </w:t>
      </w:r>
      <w:r>
        <w:rPr>
          <w:rFonts w:ascii="Century Gothic" w:eastAsia="Times New Roman" w:hAnsi="Century Gothic" w:cs="Times New Roman"/>
          <w:sz w:val="24"/>
          <w:szCs w:val="24"/>
        </w:rPr>
        <w:br/>
        <w:t>temperatures.</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POSSIBILITY OF HAZARDOUS REACTIONS:</w:t>
      </w:r>
      <w:r>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78791790"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32A82AA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5889F9C7"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65ADD" w14:paraId="31A0F4F5" w14:textId="77777777" w:rsidTr="00897AA5">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403AE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20BA8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365ADD" w14:paraId="4FDBEB30"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2371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68504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1A61582B"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DA69E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1D981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365ADD" w14:paraId="00DF2E35"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8035FA"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A36ED2"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365ADD" w14:paraId="54F21197"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C5869"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D86D9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719E8AC2"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999F1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1789835"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Minimally Toxic. Based on assessment </w:t>
            </w:r>
            <w:r>
              <w:rPr>
                <w:rFonts w:ascii="Century Gothic" w:eastAsia="Times New Roman" w:hAnsi="Century Gothic" w:cs="Times New Roman"/>
                <w:sz w:val="24"/>
                <w:szCs w:val="24"/>
              </w:rPr>
              <w:lastRenderedPageBreak/>
              <w:t>of components.</w:t>
            </w:r>
          </w:p>
          <w:p w14:paraId="1A741035"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1D3CB6DE"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E1595"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lastRenderedPageBreak/>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ACEDE8D"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62ACDFB2"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402F0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257F05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365ADD" w14:paraId="304EB592"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0EAD8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7248D54"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365ADD" w14:paraId="2F9DB36E"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864A6"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F5A208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2B98DB4F"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F95023"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842C0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365ADD" w14:paraId="5C313F9A"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22415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7315FB4"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211C6585"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61CE29"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B2EE539"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365ADD" w14:paraId="60E0B55C"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F606E"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0D32FE2"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365ADD" w14:paraId="33E63FE9"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9A767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BFB095"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365ADD" w14:paraId="4A877D4C"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2EAA2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438D10"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365ADD" w14:paraId="33357B6F"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DEA852"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AEC383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365ADD" w14:paraId="16DF0A22"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D28EB"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A77FC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365ADD" w14:paraId="0C8FEBB3"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947D57"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9934EB"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365ADD" w14:paraId="0D356BE8"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51DAB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7406A28"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365ADD" w14:paraId="3AE086E7"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7961E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CAE6EE1"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365ADD" w14:paraId="77C8AFAA" w14:textId="77777777" w:rsidTr="00897AA5">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42B9A"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298B0F"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6907F847" w14:textId="77777777" w:rsidR="00FA06C0" w:rsidRDefault="00365ADD" w:rsidP="00FA06C0">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p>
    <w:p w14:paraId="71CCAECE" w14:textId="77777777" w:rsidR="00FA06C0" w:rsidRDefault="00FA06C0" w:rsidP="00FA06C0">
      <w:pPr>
        <w:spacing w:after="240" w:line="240" w:lineRule="auto"/>
        <w:rPr>
          <w:rFonts w:ascii="Century Gothic" w:eastAsia="Times New Roman" w:hAnsi="Century Gothic" w:cs="Times New Roman"/>
          <w:sz w:val="24"/>
          <w:szCs w:val="24"/>
        </w:rPr>
      </w:pPr>
    </w:p>
    <w:p w14:paraId="545B0E12" w14:textId="77777777" w:rsidR="00365ADD" w:rsidRDefault="00365ADD" w:rsidP="00FA06C0">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OTHER INFORMATION</w:t>
      </w:r>
    </w:p>
    <w:p w14:paraId="44379E7B"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For the product itself: </w:t>
      </w:r>
      <w:r>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24C7BBA3" w14:textId="77777777" w:rsidR="00365ADD" w:rsidRDefault="00365ADD" w:rsidP="00365ADD">
      <w:pPr>
        <w:spacing w:after="0" w:line="240" w:lineRule="auto"/>
        <w:rPr>
          <w:rFonts w:ascii="Century Gothic" w:eastAsia="Times New Roman" w:hAnsi="Century Gothic" w:cs="Times New Roman"/>
          <w:sz w:val="24"/>
          <w:szCs w:val="24"/>
        </w:rPr>
      </w:pPr>
    </w:p>
    <w:p w14:paraId="1D7625B9"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Contains:</w:t>
      </w:r>
    </w:p>
    <w:p w14:paraId="5891E4F3"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00927B3"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The following ingredients are cited on the lists below: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--REGULATORY LISTS SEARCHED--</w:t>
      </w:r>
      <w:r>
        <w:rPr>
          <w:rFonts w:ascii="Century Gothic" w:eastAsia="Times New Roman" w:hAnsi="Century Gothic" w:cs="Times New Roman"/>
          <w:sz w:val="24"/>
          <w:szCs w:val="24"/>
        </w:rPr>
        <w:br/>
        <w:t xml:space="preserve">1 = NTP CARC </w:t>
      </w:r>
      <w:r>
        <w:rPr>
          <w:rFonts w:ascii="Century Gothic" w:eastAsia="Times New Roman" w:hAnsi="Century Gothic" w:cs="Times New Roman"/>
          <w:sz w:val="24"/>
          <w:szCs w:val="24"/>
        </w:rPr>
        <w:tab/>
        <w:t xml:space="preserve">3 = IARC 1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5 = IARC 2B</w:t>
      </w:r>
      <w:r>
        <w:rPr>
          <w:rFonts w:ascii="Century Gothic" w:eastAsia="Times New Roman" w:hAnsi="Century Gothic" w:cs="Times New Roman"/>
          <w:sz w:val="24"/>
          <w:szCs w:val="24"/>
        </w:rPr>
        <w:br/>
        <w:t xml:space="preserve">2 = NTP SUS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4 = IARC 2A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315EABD6"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2A44EDAC"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17F30E1B"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The information given is based on data available for the material, the components of the material, and similar materials.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ECOTOXICITY</w:t>
      </w:r>
      <w:r>
        <w:rPr>
          <w:rFonts w:ascii="Century Gothic" w:eastAsia="Times New Roman" w:hAnsi="Century Gothic" w:cs="Times New Roman"/>
          <w:sz w:val="24"/>
          <w:szCs w:val="24"/>
        </w:rPr>
        <w:t> </w:t>
      </w:r>
      <w:r>
        <w:rPr>
          <w:rFonts w:ascii="Century Gothic" w:eastAsia="Times New Roman" w:hAnsi="Century Gothic" w:cs="Times New Roman"/>
          <w:sz w:val="24"/>
          <w:szCs w:val="24"/>
        </w:rPr>
        <w:br/>
        <w:t>Material — Not expected to be harmful to aquatic organisms. </w:t>
      </w:r>
    </w:p>
    <w:p w14:paraId="6270E1B8" w14:textId="77777777" w:rsidR="00365ADD" w:rsidRDefault="00365ADD" w:rsidP="00365ADD">
      <w:pPr>
        <w:spacing w:after="0" w:line="240" w:lineRule="auto"/>
        <w:rPr>
          <w:rFonts w:ascii="Century Gothic" w:eastAsia="Times New Roman" w:hAnsi="Century Gothic" w:cs="Times New Roman"/>
          <w:sz w:val="24"/>
          <w:szCs w:val="24"/>
        </w:rPr>
      </w:pPr>
    </w:p>
    <w:p w14:paraId="1F904DBA"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MOBILITY</w:t>
      </w:r>
    </w:p>
    <w:p w14:paraId="7E029209"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PERSISTENCE AND DEGRADABILITY</w:t>
      </w:r>
      <w:r>
        <w:rPr>
          <w:rFonts w:ascii="Century Gothic" w:eastAsia="Times New Roman" w:hAnsi="Century Gothic" w:cs="Times New Roman"/>
          <w:b/>
          <w:bCs/>
          <w:sz w:val="24"/>
          <w:szCs w:val="24"/>
        </w:rPr>
        <w:br/>
        <w:t>Biodegradation:</w:t>
      </w:r>
      <w:r>
        <w:rPr>
          <w:rFonts w:ascii="Century Gothic" w:eastAsia="Times New Roman" w:hAnsi="Century Gothic" w:cs="Times New Roman"/>
          <w:sz w:val="24"/>
          <w:szCs w:val="24"/>
        </w:rPr>
        <w:br/>
        <w:t>Base Oil Components— Expected to be inherently biodegradable</w:t>
      </w:r>
    </w:p>
    <w:p w14:paraId="43A96FAF" w14:textId="77777777" w:rsidR="00365ADD" w:rsidRDefault="00365ADD" w:rsidP="00365ADD">
      <w:pPr>
        <w:spacing w:after="0" w:line="240" w:lineRule="auto"/>
        <w:rPr>
          <w:rFonts w:ascii="Century Gothic" w:eastAsia="Times New Roman" w:hAnsi="Century Gothic" w:cs="Times New Roman"/>
          <w:sz w:val="24"/>
          <w:szCs w:val="24"/>
        </w:rPr>
      </w:pPr>
    </w:p>
    <w:p w14:paraId="562E75B3"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BIOACCUMULATION POTENTIAL</w:t>
      </w:r>
    </w:p>
    <w:p w14:paraId="4F6627CC"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Components — Has the potential to bioaccumulate, hover metabolism or physical properties may reduce the bio concentration or limit bioavailability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w:t>
      </w:r>
      <w:r>
        <w:rPr>
          <w:rFonts w:ascii="Century Gothic" w:eastAsia="Times New Roman" w:hAnsi="Century Gothic" w:cs="Times New Roman"/>
          <w:b/>
          <w:bCs/>
          <w:sz w:val="24"/>
          <w:szCs w:val="24"/>
        </w:rPr>
        <w:t>OTHER ECOLOGICAL INFORMATION</w:t>
      </w:r>
    </w:p>
    <w:p w14:paraId="1D1199CC"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 xml:space="preserve">VOC: </w:t>
      </w:r>
      <w:r>
        <w:rPr>
          <w:rFonts w:ascii="Century Gothic" w:eastAsia="Times New Roman" w:hAnsi="Century Gothic" w:cs="Times New Roman"/>
          <w:sz w:val="24"/>
          <w:szCs w:val="24"/>
        </w:rPr>
        <w:t>0 G/L [ASTM E1868-10]</w:t>
      </w:r>
      <w:r>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61D63083"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4745F509"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710FEE0C" w14:textId="77777777" w:rsidR="00365ADD" w:rsidRDefault="00365ADD" w:rsidP="00365ADD">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DISPOSAL RECOMMENDATIONS</w:t>
      </w:r>
      <w:r>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REGULATORY DISPOSAL INFORMATION</w:t>
      </w:r>
      <w:r>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Empty Container Warning:</w:t>
      </w:r>
      <w:r>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65ADD" w14:paraId="3CD7167D"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0B2C481C" w14:textId="77777777" w:rsidR="00365ADD" w:rsidRDefault="00365ADD" w:rsidP="00897AA5">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22869BB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LAND (DOT):</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LAND (TDG):</w:t>
      </w:r>
      <w:r>
        <w:rPr>
          <w:rFonts w:ascii="Century Gothic" w:eastAsia="Times New Roman" w:hAnsi="Century Gothic" w:cs="Times New Roman"/>
          <w:sz w:val="24"/>
          <w:szCs w:val="24"/>
        </w:rPr>
        <w:t> Not Regulated for Land Transport</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lastRenderedPageBreak/>
        <w:t>SEA (IMDG):</w:t>
      </w:r>
      <w:r>
        <w:rPr>
          <w:rFonts w:ascii="Century Gothic" w:eastAsia="Times New Roman" w:hAnsi="Century Gothic" w:cs="Times New Roman"/>
          <w:sz w:val="24"/>
          <w:szCs w:val="24"/>
        </w:rPr>
        <w:t> Not Regulated for Sea Transport according to IMDG-Code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sz w:val="24"/>
          <w:szCs w:val="24"/>
        </w:rPr>
        <w:t>Marine Pollutant:</w:t>
      </w:r>
      <w:r>
        <w:rPr>
          <w:rFonts w:ascii="Century Gothic" w:eastAsia="Times New Roman" w:hAnsi="Century Gothic" w:cs="Times New Roman"/>
          <w:sz w:val="24"/>
          <w:szCs w:val="24"/>
        </w:rPr>
        <w:t xml:space="preserve"> No</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AIR (IATA):</w:t>
      </w:r>
      <w:r>
        <w:rPr>
          <w:rFonts w:ascii="Century Gothic" w:eastAsia="Times New Roman" w:hAnsi="Century Gothic" w:cs="Times New Roman"/>
          <w:sz w:val="24"/>
          <w:szCs w:val="24"/>
        </w:rPr>
        <w:t> Not Regulated for Air Transport</w:t>
      </w:r>
    </w:p>
    <w:p w14:paraId="2110A14F"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784782C2"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160927C6"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6A7056A4"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OSHA HAZARD COMMUNICATION STANDARD:</w:t>
      </w:r>
      <w:r>
        <w:rPr>
          <w:rFonts w:ascii="Century Gothic" w:eastAsia="Times New Roman" w:hAnsi="Century Gothic" w:cs="Times New Roman"/>
          <w:sz w:val="24"/>
          <w:szCs w:val="24"/>
        </w:rPr>
        <w:t xml:space="preserve"> This material is considered hazardous in accordance with OHSA HazCom 2012, 29, CFR 1910. 1200.</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Complies with the following national/regional chemical inventory requirements:</w:t>
      </w:r>
      <w:r>
        <w:rPr>
          <w:rFonts w:ascii="Century Gothic" w:eastAsia="Times New Roman" w:hAnsi="Century Gothic" w:cs="Times New Roman"/>
          <w:sz w:val="24"/>
          <w:szCs w:val="24"/>
        </w:rPr>
        <w:t> AICS, ENCS, IECSC, KECI, PICCS, TSCA</w:t>
      </w:r>
    </w:p>
    <w:p w14:paraId="72B8CFAE"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br/>
        <w:t>EPCRA SECTION 302:</w:t>
      </w:r>
      <w:r>
        <w:rPr>
          <w:rFonts w:ascii="Century Gothic" w:eastAsia="Times New Roman" w:hAnsi="Century Gothic" w:cs="Times New Roman"/>
          <w:sz w:val="24"/>
          <w:szCs w:val="24"/>
        </w:rPr>
        <w:t> This material contains no extremely hazards substances.</w:t>
      </w:r>
    </w:p>
    <w:p w14:paraId="37043AF3"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(311/312) REPORTABLE HAZARD CATEGORIES:</w:t>
      </w:r>
      <w:r>
        <w:rPr>
          <w:rFonts w:ascii="Century Gothic" w:eastAsia="Times New Roman" w:hAnsi="Century Gothic" w:cs="Times New Roman"/>
          <w:sz w:val="24"/>
          <w:szCs w:val="24"/>
        </w:rPr>
        <w:t> None</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r>
      <w:r>
        <w:rPr>
          <w:rFonts w:ascii="Century Gothic" w:eastAsia="Times New Roman" w:hAnsi="Century Gothic" w:cs="Times New Roman"/>
          <w:b/>
          <w:bCs/>
          <w:sz w:val="24"/>
          <w:szCs w:val="24"/>
        </w:rPr>
        <w:t>SARA (313) TOXIC RELEASE INVENTORY:</w:t>
      </w:r>
      <w:r>
        <w:rPr>
          <w:rFonts w:ascii="Century Gothic" w:eastAsia="Times New Roman" w:hAnsi="Century Gothic" w:cs="Times New Roman"/>
          <w:sz w:val="24"/>
          <w:szCs w:val="24"/>
        </w:rPr>
        <w:t> This material contains no chemicals subject to the supplier notification requirements of the SARA 313 Toxic Release Program. </w:t>
      </w:r>
    </w:p>
    <w:p w14:paraId="3856561E" w14:textId="77777777" w:rsidR="00365ADD" w:rsidRDefault="00365ADD" w:rsidP="00365ADD">
      <w:pPr>
        <w:spacing w:after="0" w:line="240" w:lineRule="auto"/>
        <w:rPr>
          <w:rFonts w:ascii="Century Gothic" w:eastAsia="Times New Roman" w:hAnsi="Century Gothic" w:cs="Times New Roman"/>
          <w:sz w:val="24"/>
          <w:szCs w:val="24"/>
        </w:rPr>
      </w:pPr>
    </w:p>
    <w:p w14:paraId="63328E92" w14:textId="77777777" w:rsidR="00365ADD" w:rsidRDefault="00365ADD" w:rsidP="00365ADD">
      <w:pPr>
        <w:spacing w:after="0" w:line="240" w:lineRule="auto"/>
        <w:rPr>
          <w:rFonts w:ascii="Century Gothic" w:eastAsia="Times New Roman" w:hAnsi="Century Gothic" w:cs="Times New Roman"/>
          <w:sz w:val="24"/>
          <w:szCs w:val="24"/>
        </w:rPr>
      </w:pPr>
    </w:p>
    <w:p w14:paraId="2594506E"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The following ingredients are cited on the lists below: None</w:t>
      </w:r>
    </w:p>
    <w:p w14:paraId="45DE5A30" w14:textId="77777777" w:rsidR="00365ADD" w:rsidRDefault="00365ADD" w:rsidP="00365ADD">
      <w:pPr>
        <w:spacing w:after="0" w:line="240" w:lineRule="auto"/>
        <w:rPr>
          <w:rFonts w:ascii="Century Gothic" w:eastAsia="Times New Roman" w:hAnsi="Century Gothic" w:cs="Times New Roman"/>
          <w:sz w:val="24"/>
          <w:szCs w:val="24"/>
        </w:rPr>
      </w:pPr>
    </w:p>
    <w:p w14:paraId="7E36AF30"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--REGULATORY LISTS SEARCHED— </w:t>
      </w:r>
    </w:p>
    <w:p w14:paraId="12EBB6C8"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t>16 = MN RTK</w:t>
      </w:r>
      <w:r>
        <w:rPr>
          <w:rFonts w:ascii="Century Gothic" w:eastAsia="Times New Roman" w:hAnsi="Century Gothic" w:cs="Times New Roman"/>
          <w:sz w:val="24"/>
          <w:szCs w:val="24"/>
        </w:rPr>
        <w:br/>
        <w:t xml:space="preserve">2 = ACGIH A1        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12 = CA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17 = NJ RTK</w:t>
      </w:r>
      <w:r>
        <w:rPr>
          <w:rFonts w:ascii="Century Gothic" w:eastAsia="Times New Roman" w:hAnsi="Century Gothic" w:cs="Times New Roman"/>
          <w:sz w:val="24"/>
          <w:szCs w:val="24"/>
        </w:rPr>
        <w:br/>
        <w:t xml:space="preserve">3 = ACGIH A2        8 = TSCA 6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13 = IL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18 = PA 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t xml:space="preserve">14 = LA RTK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19 = RI RTK</w:t>
      </w:r>
      <w:r>
        <w:rPr>
          <w:rFonts w:ascii="Century Gothic" w:eastAsia="Times New Roman" w:hAnsi="Century Gothic" w:cs="Times New Roman"/>
          <w:sz w:val="24"/>
          <w:szCs w:val="24"/>
        </w:rPr>
        <w:br/>
        <w:t xml:space="preserve">5 = TSCA 4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10 = CA P6 CARC </w:t>
      </w:r>
      <w:r>
        <w:rPr>
          <w:rFonts w:ascii="Century Gothic" w:eastAsia="Times New Roman" w:hAnsi="Century Gothic" w:cs="Times New Roman"/>
          <w:sz w:val="24"/>
          <w:szCs w:val="24"/>
        </w:rPr>
        <w:tab/>
        <w:t xml:space="preserve">15 = MI 293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Code Key: CARC=Carcinogen; REPRO=Reproductive</w:t>
      </w:r>
    </w:p>
    <w:p w14:paraId="77CFD152" w14:textId="77777777" w:rsidR="00365ADD" w:rsidRDefault="00365ADD" w:rsidP="00365ADD">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65ADD" w14:paraId="23FB113A" w14:textId="77777777" w:rsidTr="00897AA5">
        <w:tc>
          <w:tcPr>
            <w:tcW w:w="13176" w:type="dxa"/>
            <w:tcBorders>
              <w:top w:val="nil"/>
              <w:left w:val="nil"/>
              <w:bottom w:val="nil"/>
              <w:right w:val="nil"/>
            </w:tcBorders>
            <w:shd w:val="clear" w:color="auto" w:fill="FF0000"/>
            <w:tcMar>
              <w:top w:w="0" w:type="dxa"/>
              <w:left w:w="108" w:type="dxa"/>
              <w:bottom w:w="0" w:type="dxa"/>
              <w:right w:w="108" w:type="dxa"/>
            </w:tcMar>
            <w:hideMark/>
          </w:tcPr>
          <w:p w14:paraId="7A9E3F9B" w14:textId="77777777" w:rsidR="00365ADD" w:rsidRDefault="00365ADD" w:rsidP="00897AA5">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71D0918B"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N/D = Not determined, N/A = Not applicable </w:t>
      </w:r>
      <w:r>
        <w:rPr>
          <w:rFonts w:ascii="Century Gothic" w:eastAsia="Times New Roman" w:hAnsi="Century Gothic" w:cs="Times New Roman"/>
          <w:sz w:val="24"/>
          <w:szCs w:val="24"/>
        </w:rPr>
        <w:br/>
      </w:r>
    </w:p>
    <w:p w14:paraId="696C7987" w14:textId="77777777" w:rsidR="00365ADD" w:rsidRDefault="00365ADD" w:rsidP="00365ADD">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THIS SAFETY DATA SHEET CONTAINS THE FOLLOWING REVISIONS:</w:t>
      </w:r>
      <w:r>
        <w:rPr>
          <w:rFonts w:ascii="Century Gothic" w:eastAsia="Times New Roman" w:hAnsi="Century Gothic" w:cs="Times New Roman"/>
          <w:sz w:val="24"/>
          <w:szCs w:val="24"/>
        </w:rPr>
        <w:br/>
        <w:t>Updates made in accordance with implementations of GHS requirements. </w:t>
      </w:r>
      <w:r>
        <w:rPr>
          <w:rFonts w:ascii="Century Gothic" w:eastAsia="Times New Roman" w:hAnsi="Century Gothic" w:cs="Times New Roman"/>
          <w:sz w:val="24"/>
          <w:szCs w:val="24"/>
        </w:rPr>
        <w:br/>
      </w:r>
      <w:r>
        <w:rPr>
          <w:rFonts w:ascii="Century Gothic" w:eastAsia="Times New Roman" w:hAnsi="Century Gothic" w:cs="Times New Roman"/>
          <w:sz w:val="24"/>
          <w:szCs w:val="24"/>
        </w:rPr>
        <w:br/>
        <w:t xml:space="preserve">The information and recommendations contained herein are, to the best of </w:t>
      </w:r>
      <w:r>
        <w:rPr>
          <w:rFonts w:ascii="Century Gothic" w:eastAsia="Times New Roman" w:hAnsi="Century Gothic" w:cs="Times New Roman"/>
          <w:sz w:val="24"/>
          <w:szCs w:val="24"/>
        </w:rPr>
        <w:lastRenderedPageBreak/>
        <w:t>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017F2FF3" w14:textId="77777777" w:rsidR="00B53BEA" w:rsidRDefault="00B53BEA"/>
    <w:sectPr w:rsidR="00B53B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E5FB" w14:textId="77777777" w:rsidR="00A844A1" w:rsidRDefault="00A844A1" w:rsidP="00365ADD">
      <w:pPr>
        <w:spacing w:after="0" w:line="240" w:lineRule="auto"/>
      </w:pPr>
      <w:r>
        <w:separator/>
      </w:r>
    </w:p>
  </w:endnote>
  <w:endnote w:type="continuationSeparator" w:id="0">
    <w:p w14:paraId="7B51BADD" w14:textId="77777777" w:rsidR="00A844A1" w:rsidRDefault="00A844A1" w:rsidP="00365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098201"/>
      <w:docPartObj>
        <w:docPartGallery w:val="Page Numbers (Bottom of Page)"/>
        <w:docPartUnique/>
      </w:docPartObj>
    </w:sdtPr>
    <w:sdtEndPr>
      <w:rPr>
        <w:noProof/>
      </w:rPr>
    </w:sdtEndPr>
    <w:sdtContent>
      <w:p w14:paraId="6BF851F7" w14:textId="77777777" w:rsidR="00365ADD" w:rsidRDefault="00365ADD">
        <w:pPr>
          <w:pStyle w:val="Footer"/>
          <w:jc w:val="center"/>
        </w:pPr>
        <w:r>
          <w:fldChar w:fldCharType="begin"/>
        </w:r>
        <w:r>
          <w:instrText xml:space="preserve"> PAGE   \* MERGEFORMAT </w:instrText>
        </w:r>
        <w:r>
          <w:fldChar w:fldCharType="separate"/>
        </w:r>
        <w:r w:rsidR="00056F43">
          <w:rPr>
            <w:noProof/>
          </w:rPr>
          <w:t>10</w:t>
        </w:r>
        <w:r>
          <w:rPr>
            <w:noProof/>
          </w:rPr>
          <w:fldChar w:fldCharType="end"/>
        </w:r>
      </w:p>
    </w:sdtContent>
  </w:sdt>
  <w:p w14:paraId="306D6638" w14:textId="77777777" w:rsidR="00365ADD" w:rsidRDefault="00365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F3314" w14:textId="77777777" w:rsidR="00A844A1" w:rsidRDefault="00A844A1" w:rsidP="00365ADD">
      <w:pPr>
        <w:spacing w:after="0" w:line="240" w:lineRule="auto"/>
      </w:pPr>
      <w:r>
        <w:separator/>
      </w:r>
    </w:p>
  </w:footnote>
  <w:footnote w:type="continuationSeparator" w:id="0">
    <w:p w14:paraId="66162F85" w14:textId="77777777" w:rsidR="00A844A1" w:rsidRDefault="00A844A1" w:rsidP="00365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E9E3" w14:textId="77777777" w:rsidR="00365ADD" w:rsidRDefault="00365ADD">
    <w:pPr>
      <w:pStyle w:val="Header"/>
    </w:pPr>
    <w:r>
      <w:rPr>
        <w:noProof/>
      </w:rPr>
      <w:drawing>
        <wp:inline distT="0" distB="0" distL="0" distR="0" wp14:anchorId="39E75B6C" wp14:editId="7BAB1CDE">
          <wp:extent cx="6027313"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7313"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ADD"/>
    <w:rsid w:val="00056F43"/>
    <w:rsid w:val="00297443"/>
    <w:rsid w:val="00365ADD"/>
    <w:rsid w:val="004C5E20"/>
    <w:rsid w:val="008F7D09"/>
    <w:rsid w:val="00941E59"/>
    <w:rsid w:val="009E49A4"/>
    <w:rsid w:val="00A844A1"/>
    <w:rsid w:val="00AD4D42"/>
    <w:rsid w:val="00B53BEA"/>
    <w:rsid w:val="00C01C89"/>
    <w:rsid w:val="00C614C7"/>
    <w:rsid w:val="00CB627B"/>
    <w:rsid w:val="00D34295"/>
    <w:rsid w:val="00EC6463"/>
    <w:rsid w:val="00ED6C0C"/>
    <w:rsid w:val="00FA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6B7F3F2"/>
  <w15:docId w15:val="{7370937B-AFA3-46E4-881E-2C430179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5ADD"/>
    <w:pPr>
      <w:spacing w:after="0" w:line="240" w:lineRule="auto"/>
    </w:pPr>
  </w:style>
  <w:style w:type="table" w:styleId="TableGrid">
    <w:name w:val="Table Grid"/>
    <w:basedOn w:val="TableNormal"/>
    <w:uiPriority w:val="59"/>
    <w:rsid w:val="00365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5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ADD"/>
  </w:style>
  <w:style w:type="paragraph" w:styleId="Footer">
    <w:name w:val="footer"/>
    <w:basedOn w:val="Normal"/>
    <w:link w:val="FooterChar"/>
    <w:uiPriority w:val="99"/>
    <w:unhideWhenUsed/>
    <w:rsid w:val="00365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ADD"/>
  </w:style>
  <w:style w:type="paragraph" w:styleId="BalloonText">
    <w:name w:val="Balloon Text"/>
    <w:basedOn w:val="Normal"/>
    <w:link w:val="BalloonTextChar"/>
    <w:uiPriority w:val="99"/>
    <w:semiHidden/>
    <w:unhideWhenUsed/>
    <w:rsid w:val="00365A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11</cp:revision>
  <cp:lastPrinted>2018-08-17T14:44:00Z</cp:lastPrinted>
  <dcterms:created xsi:type="dcterms:W3CDTF">2015-07-14T17:59:00Z</dcterms:created>
  <dcterms:modified xsi:type="dcterms:W3CDTF">2022-01-07T17:16:00Z</dcterms:modified>
</cp:coreProperties>
</file>