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A" w:rsidRDefault="005371AA" w:rsidP="005371AA">
      <w:pPr>
        <w:rPr>
          <w:rFonts w:ascii="Century Gothic" w:hAnsi="Century Gothic"/>
          <w:b/>
          <w:color w:val="000000" w:themeColor="text1"/>
        </w:rPr>
      </w:pPr>
    </w:p>
    <w:p w:rsidR="005371AA" w:rsidRDefault="00D41E57" w:rsidP="005371AA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Signal </w:t>
      </w:r>
      <w:proofErr w:type="spellStart"/>
      <w:r>
        <w:rPr>
          <w:rFonts w:ascii="Century Gothic" w:hAnsi="Century Gothic"/>
          <w:b/>
          <w:color w:val="000000" w:themeColor="text1"/>
        </w:rPr>
        <w:t>Tranz</w:t>
      </w:r>
      <w:proofErr w:type="spellEnd"/>
      <w:r>
        <w:rPr>
          <w:rFonts w:ascii="Century Gothic" w:hAnsi="Century Gothic"/>
          <w:b/>
          <w:color w:val="000000" w:themeColor="text1"/>
        </w:rPr>
        <w:t xml:space="preserve"> TO-4 Fluid</w:t>
      </w:r>
    </w:p>
    <w:p w:rsidR="005371AA" w:rsidRDefault="005371AA" w:rsidP="005371AA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371AA" w:rsidTr="00897AA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371AA" w:rsidRDefault="005371AA" w:rsidP="00897A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r w:rsidRPr="005371AA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Pr="005371AA">
        <w:rPr>
          <w:rFonts w:ascii="Century Gothic" w:hAnsi="Century Gothic"/>
          <w:sz w:val="20"/>
          <w:szCs w:val="20"/>
        </w:rPr>
        <w:t>Tranz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D41E57">
        <w:rPr>
          <w:rFonts w:ascii="Century Gothic" w:hAnsi="Century Gothic"/>
          <w:sz w:val="20"/>
          <w:szCs w:val="20"/>
        </w:rPr>
        <w:t>TO-4 Fluid</w:t>
      </w:r>
      <w:r w:rsidRPr="005371AA">
        <w:rPr>
          <w:rFonts w:ascii="Century Gothic" w:hAnsi="Century Gothic"/>
          <w:sz w:val="20"/>
          <w:szCs w:val="20"/>
        </w:rPr>
        <w:t xml:space="preserve"> </w:t>
      </w:r>
      <w:r w:rsidR="00161E8E">
        <w:rPr>
          <w:rFonts w:ascii="Century Gothic" w:hAnsi="Century Gothic"/>
          <w:sz w:val="20"/>
          <w:szCs w:val="20"/>
        </w:rPr>
        <w:t xml:space="preserve">is an extended life, </w:t>
      </w:r>
      <w:r w:rsidR="00734327">
        <w:rPr>
          <w:rFonts w:ascii="Century Gothic" w:hAnsi="Century Gothic"/>
          <w:sz w:val="20"/>
          <w:szCs w:val="20"/>
        </w:rPr>
        <w:t xml:space="preserve">high performance multifunctional fluid designed for use in transmissions, final drives and hydraulic systems of off-highway equipment where a fluid meeting Caterpillar TO-4 performance requirement </w:t>
      </w:r>
      <w:r w:rsidR="00161E8E">
        <w:rPr>
          <w:rFonts w:ascii="Century Gothic" w:hAnsi="Century Gothic"/>
          <w:sz w:val="20"/>
          <w:szCs w:val="20"/>
        </w:rPr>
        <w:t>is specified. These oils utilize</w:t>
      </w:r>
      <w:r w:rsidR="00734327">
        <w:rPr>
          <w:rFonts w:ascii="Century Gothic" w:hAnsi="Century Gothic"/>
          <w:sz w:val="20"/>
          <w:szCs w:val="20"/>
        </w:rPr>
        <w:t xml:space="preserve"> a state-of-the-art additive technology </w:t>
      </w:r>
      <w:r w:rsidR="00161E8E">
        <w:rPr>
          <w:rFonts w:ascii="Century Gothic" w:hAnsi="Century Gothic"/>
          <w:sz w:val="20"/>
          <w:szCs w:val="20"/>
        </w:rPr>
        <w:t xml:space="preserve">system </w:t>
      </w:r>
      <w:r w:rsidR="00734327">
        <w:rPr>
          <w:rFonts w:ascii="Century Gothic" w:hAnsi="Century Gothic"/>
          <w:sz w:val="20"/>
          <w:szCs w:val="20"/>
        </w:rPr>
        <w:t xml:space="preserve">intended for use in vehicle </w:t>
      </w:r>
      <w:r w:rsidR="00A901AA">
        <w:rPr>
          <w:rFonts w:ascii="Century Gothic" w:hAnsi="Century Gothic"/>
          <w:sz w:val="20"/>
          <w:szCs w:val="20"/>
        </w:rPr>
        <w:t>friction devices s</w:t>
      </w:r>
      <w:r w:rsidR="00734327">
        <w:rPr>
          <w:rFonts w:ascii="Century Gothic" w:hAnsi="Century Gothic"/>
          <w:sz w:val="20"/>
          <w:szCs w:val="20"/>
        </w:rPr>
        <w:t>uch as, power shift transmissions, clutches, brakes, and in other vehicle drive train components</w:t>
      </w:r>
      <w:r w:rsidR="00161E8E">
        <w:rPr>
          <w:rFonts w:ascii="Century Gothic" w:hAnsi="Century Gothic"/>
          <w:sz w:val="20"/>
          <w:szCs w:val="20"/>
        </w:rPr>
        <w:t xml:space="preserve"> requiring a TO-4 fluid</w:t>
      </w:r>
      <w:r w:rsidR="00734327">
        <w:rPr>
          <w:rFonts w:ascii="Century Gothic" w:hAnsi="Century Gothic"/>
          <w:sz w:val="20"/>
          <w:szCs w:val="20"/>
        </w:rPr>
        <w:t xml:space="preserve">. It may also be used in hydraulic systems while providing improved deposit control, corrosion protection and load-carrying capacity for better equipment protection thus allowing more reliable operation. </w:t>
      </w:r>
    </w:p>
    <w:p w:rsidR="00734327" w:rsidRDefault="00734327" w:rsidP="005371AA">
      <w:pPr>
        <w:rPr>
          <w:rFonts w:ascii="Century Gothic" w:hAnsi="Century Gothic"/>
          <w:sz w:val="20"/>
          <w:szCs w:val="20"/>
        </w:rPr>
      </w:pPr>
    </w:p>
    <w:p w:rsidR="00734327" w:rsidRDefault="00734327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</w:t>
      </w:r>
      <w:proofErr w:type="spellStart"/>
      <w:r>
        <w:rPr>
          <w:rFonts w:ascii="Century Gothic" w:hAnsi="Century Gothic"/>
          <w:sz w:val="20"/>
          <w:szCs w:val="20"/>
        </w:rPr>
        <w:t>Tranz</w:t>
      </w:r>
      <w:proofErr w:type="spellEnd"/>
      <w:r>
        <w:rPr>
          <w:rFonts w:ascii="Century Gothic" w:hAnsi="Century Gothic"/>
          <w:sz w:val="20"/>
          <w:szCs w:val="20"/>
        </w:rPr>
        <w:t xml:space="preserve"> TO-4 Fluid </w:t>
      </w:r>
      <w:r w:rsidR="00161E8E">
        <w:rPr>
          <w:rFonts w:ascii="Century Gothic" w:hAnsi="Century Gothic"/>
          <w:sz w:val="20"/>
          <w:szCs w:val="20"/>
        </w:rPr>
        <w:t xml:space="preserve">is formulated utilizing high refined shear stable base stocks blended with technologically advanced </w:t>
      </w:r>
      <w:r>
        <w:rPr>
          <w:rFonts w:ascii="Century Gothic" w:hAnsi="Century Gothic"/>
          <w:sz w:val="20"/>
          <w:szCs w:val="20"/>
        </w:rPr>
        <w:t xml:space="preserve">thermally </w:t>
      </w:r>
      <w:r w:rsidR="00161E8E">
        <w:rPr>
          <w:rFonts w:ascii="Century Gothic" w:hAnsi="Century Gothic"/>
          <w:sz w:val="20"/>
          <w:szCs w:val="20"/>
        </w:rPr>
        <w:t xml:space="preserve">and shear </w:t>
      </w:r>
      <w:r>
        <w:rPr>
          <w:rFonts w:ascii="Century Gothic" w:hAnsi="Century Gothic"/>
          <w:sz w:val="20"/>
          <w:szCs w:val="20"/>
        </w:rPr>
        <w:t xml:space="preserve">stable nitrogen </w:t>
      </w:r>
      <w:r w:rsidR="00161E8E">
        <w:rPr>
          <w:rFonts w:ascii="Century Gothic" w:hAnsi="Century Gothic"/>
          <w:sz w:val="20"/>
          <w:szCs w:val="20"/>
        </w:rPr>
        <w:t xml:space="preserve">additive </w:t>
      </w:r>
      <w:r>
        <w:rPr>
          <w:rFonts w:ascii="Century Gothic" w:hAnsi="Century Gothic"/>
          <w:sz w:val="20"/>
          <w:szCs w:val="20"/>
        </w:rPr>
        <w:t xml:space="preserve">components to ensure capability with the </w:t>
      </w:r>
      <w:proofErr w:type="spellStart"/>
      <w:r>
        <w:rPr>
          <w:rFonts w:ascii="Century Gothic" w:hAnsi="Century Gothic"/>
          <w:sz w:val="20"/>
          <w:szCs w:val="20"/>
        </w:rPr>
        <w:t>fluoroelastomer</w:t>
      </w:r>
      <w:proofErr w:type="spellEnd"/>
      <w:r>
        <w:rPr>
          <w:rFonts w:ascii="Century Gothic" w:hAnsi="Century Gothic"/>
          <w:sz w:val="20"/>
          <w:szCs w:val="20"/>
        </w:rPr>
        <w:t xml:space="preserve"> binder used in power shift transmission discs. It’s carefully optimized frictional properties prevent clutch slippage for smoother, more consistent transmission operation and also provide improved wet brake performance. 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371AA" w:rsidTr="00897AA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371AA" w:rsidRDefault="005371AA" w:rsidP="00897A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r w:rsidRPr="005371AA">
        <w:rPr>
          <w:rFonts w:ascii="Century Gothic" w:hAnsi="Century Gothic"/>
          <w:sz w:val="20"/>
          <w:szCs w:val="20"/>
        </w:rPr>
        <w:t>Bulk, Drums, Pails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371AA" w:rsidTr="00897AA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371AA" w:rsidRDefault="005371AA" w:rsidP="00897A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p w:rsidR="00734327" w:rsidRDefault="005371AA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*Long equipment life</w:t>
      </w:r>
    </w:p>
    <w:p w:rsidR="00734327" w:rsidRDefault="00734327" w:rsidP="0073432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oxidation resistance and thermal stability for long fluid life</w:t>
      </w:r>
    </w:p>
    <w:p w:rsidR="00734327" w:rsidRDefault="00734327" w:rsidP="0073432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*Well-balanced frictional properties for efficient clutch operation and improved wet brake performance</w:t>
      </w:r>
    </w:p>
    <w:p w:rsidR="00734327" w:rsidRDefault="00734327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deposit control and wear protection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*Smooth operation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05626B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inimal downtime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*Reliable operation</w:t>
      </w:r>
    </w:p>
    <w:p w:rsidR="005371AA" w:rsidRDefault="00161E8E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*Extended life…m</w:t>
      </w:r>
      <w:r w:rsidR="005371AA">
        <w:rPr>
          <w:rFonts w:ascii="Century Gothic" w:hAnsi="Century Gothic"/>
          <w:sz w:val="20"/>
          <w:szCs w:val="20"/>
        </w:rPr>
        <w:t>inimizing weather and storage concerns</w:t>
      </w:r>
    </w:p>
    <w:p w:rsidR="005371AA" w:rsidRDefault="005371AA" w:rsidP="005371A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371AA" w:rsidTr="00897AA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371AA" w:rsidRDefault="005371AA" w:rsidP="00897A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5371AA" w:rsidRDefault="005371AA" w:rsidP="005371AA">
      <w:pPr>
        <w:rPr>
          <w:rFonts w:ascii="Century Gothic" w:hAnsi="Century Gothic"/>
          <w:sz w:val="20"/>
          <w:szCs w:val="20"/>
        </w:rPr>
      </w:pPr>
    </w:p>
    <w:p w:rsidR="00E12CF3" w:rsidRPr="00E12CF3" w:rsidRDefault="00E12CF3" w:rsidP="005371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6DD9">
        <w:rPr>
          <w:rFonts w:ascii="Century Gothic" w:hAnsi="Century Gothic"/>
          <w:b/>
          <w:sz w:val="20"/>
          <w:szCs w:val="20"/>
        </w:rPr>
        <w:t>10</w:t>
      </w:r>
      <w:r w:rsidRPr="00E12CF3">
        <w:rPr>
          <w:rFonts w:ascii="Century Gothic" w:hAnsi="Century Gothic"/>
          <w:b/>
          <w:sz w:val="20"/>
          <w:szCs w:val="20"/>
        </w:rPr>
        <w:tab/>
      </w:r>
      <w:r w:rsidRPr="00E12CF3">
        <w:rPr>
          <w:rFonts w:ascii="Century Gothic" w:hAnsi="Century Gothic"/>
          <w:b/>
          <w:sz w:val="20"/>
          <w:szCs w:val="20"/>
        </w:rPr>
        <w:tab/>
        <w:t>30</w:t>
      </w:r>
      <w:r w:rsidRPr="00E12CF3">
        <w:rPr>
          <w:rFonts w:ascii="Century Gothic" w:hAnsi="Century Gothic"/>
          <w:b/>
          <w:sz w:val="20"/>
          <w:szCs w:val="20"/>
        </w:rPr>
        <w:tab/>
      </w:r>
      <w:r w:rsidRPr="00E12CF3">
        <w:rPr>
          <w:rFonts w:ascii="Century Gothic" w:hAnsi="Century Gothic"/>
          <w:b/>
          <w:sz w:val="20"/>
          <w:szCs w:val="20"/>
        </w:rPr>
        <w:tab/>
        <w:t>50</w:t>
      </w:r>
      <w:r w:rsidRPr="00E12CF3">
        <w:rPr>
          <w:rFonts w:ascii="Century Gothic" w:hAnsi="Century Gothic"/>
          <w:b/>
          <w:sz w:val="20"/>
          <w:szCs w:val="20"/>
        </w:rPr>
        <w:tab/>
      </w:r>
      <w:r w:rsidRPr="00E12CF3">
        <w:rPr>
          <w:rFonts w:ascii="Century Gothic" w:hAnsi="Century Gothic"/>
          <w:b/>
          <w:sz w:val="20"/>
          <w:szCs w:val="20"/>
        </w:rPr>
        <w:tab/>
        <w:t>60</w:t>
      </w:r>
    </w:p>
    <w:p w:rsidR="00B53BEA" w:rsidRDefault="00786656" w:rsidP="005371AA">
      <w:pPr>
        <w:rPr>
          <w:rFonts w:ascii="Century Gothic" w:hAnsi="Century Gothic"/>
          <w:sz w:val="20"/>
          <w:szCs w:val="20"/>
        </w:rPr>
      </w:pPr>
      <w:r w:rsidRPr="00815850">
        <w:rPr>
          <w:rFonts w:ascii="Century Gothic" w:hAnsi="Century Gothic"/>
          <w:sz w:val="20"/>
          <w:szCs w:val="20"/>
        </w:rPr>
        <w:t>Vis</w:t>
      </w:r>
      <w:r w:rsidR="00815850">
        <w:rPr>
          <w:rFonts w:ascii="Century Gothic" w:hAnsi="Century Gothic"/>
          <w:sz w:val="20"/>
          <w:szCs w:val="20"/>
        </w:rPr>
        <w:t>cosity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40°C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40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92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191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305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100°C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6.4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10.8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17.7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25.0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SUS @ 100°F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206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478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1004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1615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SUS @ 210°F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48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63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91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124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109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101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100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105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 (°F)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225(437)</w:t>
      </w:r>
      <w:r w:rsidR="00E12CF3">
        <w:rPr>
          <w:rFonts w:ascii="Century Gothic" w:hAnsi="Century Gothic"/>
          <w:sz w:val="20"/>
          <w:szCs w:val="20"/>
        </w:rPr>
        <w:tab/>
        <w:t>255(491)</w:t>
      </w:r>
      <w:r w:rsidR="00E12CF3">
        <w:rPr>
          <w:rFonts w:ascii="Century Gothic" w:hAnsi="Century Gothic"/>
          <w:sz w:val="20"/>
          <w:szCs w:val="20"/>
        </w:rPr>
        <w:tab/>
        <w:t>255(491)</w:t>
      </w:r>
      <w:r w:rsidR="00E12CF3">
        <w:rPr>
          <w:rFonts w:ascii="Century Gothic" w:hAnsi="Century Gothic"/>
          <w:sz w:val="20"/>
          <w:szCs w:val="20"/>
        </w:rPr>
        <w:tab/>
        <w:t>255(491)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 (°F)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-30(-22)</w:t>
      </w:r>
      <w:r w:rsidR="00E12CF3">
        <w:rPr>
          <w:rFonts w:ascii="Century Gothic" w:hAnsi="Century Gothic"/>
          <w:sz w:val="20"/>
          <w:szCs w:val="20"/>
        </w:rPr>
        <w:tab/>
        <w:t>-24(-11)</w:t>
      </w:r>
      <w:r w:rsidR="00E12CF3">
        <w:rPr>
          <w:rFonts w:ascii="Century Gothic" w:hAnsi="Century Gothic"/>
          <w:sz w:val="20"/>
          <w:szCs w:val="20"/>
        </w:rPr>
        <w:tab/>
        <w:t>-15(+5)</w:t>
      </w:r>
      <w:r w:rsidR="00E12CF3">
        <w:rPr>
          <w:rFonts w:ascii="Century Gothic" w:hAnsi="Century Gothic"/>
          <w:sz w:val="20"/>
          <w:szCs w:val="20"/>
        </w:rPr>
        <w:tab/>
      </w:r>
      <w:r w:rsidR="00E12CF3">
        <w:rPr>
          <w:rFonts w:ascii="Century Gothic" w:hAnsi="Century Gothic"/>
          <w:sz w:val="20"/>
          <w:szCs w:val="20"/>
        </w:rPr>
        <w:tab/>
        <w:t>-12(+10)</w:t>
      </w:r>
    </w:p>
    <w:p w:rsidR="00815850" w:rsidRDefault="00815850" w:rsidP="005371AA">
      <w:pPr>
        <w:rPr>
          <w:rFonts w:ascii="Century Gothic" w:hAnsi="Century Gothic"/>
          <w:sz w:val="20"/>
          <w:szCs w:val="20"/>
        </w:rPr>
      </w:pPr>
    </w:p>
    <w:p w:rsidR="005572F2" w:rsidRDefault="005572F2" w:rsidP="005371AA">
      <w:pPr>
        <w:rPr>
          <w:rFonts w:ascii="Century Gothic" w:hAnsi="Century Gothic"/>
          <w:sz w:val="20"/>
          <w:szCs w:val="20"/>
        </w:rPr>
      </w:pPr>
    </w:p>
    <w:p w:rsidR="005572F2" w:rsidRPr="00815850" w:rsidRDefault="005572F2" w:rsidP="005572F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5572F2" w:rsidRPr="00815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18" w:rsidRDefault="00F14518" w:rsidP="005371AA">
      <w:r>
        <w:separator/>
      </w:r>
    </w:p>
  </w:endnote>
  <w:endnote w:type="continuationSeparator" w:id="0">
    <w:p w:rsidR="00F14518" w:rsidRDefault="00F14518" w:rsidP="005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49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1AA" w:rsidRDefault="00537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1AA" w:rsidRDefault="00537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18" w:rsidRDefault="00F14518" w:rsidP="005371AA">
      <w:r>
        <w:separator/>
      </w:r>
    </w:p>
  </w:footnote>
  <w:footnote w:type="continuationSeparator" w:id="0">
    <w:p w:rsidR="00F14518" w:rsidRDefault="00F14518" w:rsidP="0053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AA" w:rsidRDefault="005371AA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A"/>
    <w:rsid w:val="0005626B"/>
    <w:rsid w:val="00161E8E"/>
    <w:rsid w:val="005371AA"/>
    <w:rsid w:val="005572F2"/>
    <w:rsid w:val="00734327"/>
    <w:rsid w:val="00786656"/>
    <w:rsid w:val="00815850"/>
    <w:rsid w:val="00A84247"/>
    <w:rsid w:val="00A901AA"/>
    <w:rsid w:val="00B53BEA"/>
    <w:rsid w:val="00D41E57"/>
    <w:rsid w:val="00DC6DD9"/>
    <w:rsid w:val="00E12CF3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AA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AA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Jessica</cp:lastModifiedBy>
  <cp:revision>6</cp:revision>
  <cp:lastPrinted>2016-12-08T15:01:00Z</cp:lastPrinted>
  <dcterms:created xsi:type="dcterms:W3CDTF">2015-07-14T13:12:00Z</dcterms:created>
  <dcterms:modified xsi:type="dcterms:W3CDTF">2016-12-08T15:13:00Z</dcterms:modified>
</cp:coreProperties>
</file>