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611A" w14:textId="77777777" w:rsidR="00A3693F" w:rsidRDefault="00A3693F" w:rsidP="00A3693F">
      <w:pPr>
        <w:spacing w:after="0" w:line="240" w:lineRule="auto"/>
        <w:rPr>
          <w:rFonts w:ascii="Century Gothic" w:eastAsia="Times New Roman" w:hAnsi="Century Gothic" w:cs="Times New Roman"/>
          <w:b/>
          <w:bCs/>
          <w:sz w:val="24"/>
          <w:szCs w:val="24"/>
        </w:rPr>
      </w:pPr>
    </w:p>
    <w:p w14:paraId="7699EE45" w14:textId="77777777" w:rsidR="00A3693F" w:rsidRPr="00B56294" w:rsidRDefault="00A3693F" w:rsidP="00A3693F">
      <w:pPr>
        <w:spacing w:after="0" w:line="240" w:lineRule="auto"/>
        <w:rPr>
          <w:rFonts w:ascii="Times New Roman" w:eastAsia="Times New Roman" w:hAnsi="Times New Roman" w:cs="Times New Roman"/>
          <w:sz w:val="24"/>
          <w:szCs w:val="24"/>
        </w:rPr>
      </w:pPr>
      <w:r w:rsidRPr="00B56294">
        <w:rPr>
          <w:rFonts w:ascii="Century Gothic" w:eastAsia="Times New Roman" w:hAnsi="Century Gothic" w:cs="Times New Roman"/>
          <w:b/>
          <w:bCs/>
          <w:sz w:val="24"/>
          <w:szCs w:val="24"/>
        </w:rPr>
        <w:t xml:space="preserve">Safety Data Sheet: </w:t>
      </w:r>
      <w:r w:rsidR="003131F8">
        <w:rPr>
          <w:rFonts w:ascii="Century Gothic" w:eastAsia="Times New Roman" w:hAnsi="Century Gothic" w:cs="Times New Roman"/>
          <w:b/>
          <w:bCs/>
          <w:sz w:val="24"/>
          <w:szCs w:val="24"/>
        </w:rPr>
        <w:t xml:space="preserve">Signal </w:t>
      </w:r>
      <w:r w:rsidRPr="00B56294">
        <w:rPr>
          <w:rFonts w:ascii="Century Gothic" w:eastAsia="Times New Roman" w:hAnsi="Century Gothic" w:cs="Times New Roman"/>
          <w:b/>
          <w:bCs/>
          <w:sz w:val="24"/>
          <w:szCs w:val="24"/>
        </w:rPr>
        <w:t xml:space="preserve">Tech Air Lube </w:t>
      </w:r>
    </w:p>
    <w:p w14:paraId="0A56C661" w14:textId="4F5C0536" w:rsidR="00A3693F" w:rsidRPr="00B56294" w:rsidRDefault="00A3693F" w:rsidP="00A3693F">
      <w:pPr>
        <w:spacing w:after="0" w:line="240" w:lineRule="auto"/>
        <w:rPr>
          <w:rFonts w:ascii="Century Gothic" w:eastAsia="Times New Roman" w:hAnsi="Century Gothic" w:cs="Arial"/>
          <w:b/>
          <w:bCs/>
          <w:color w:val="030303"/>
          <w:sz w:val="24"/>
          <w:szCs w:val="24"/>
        </w:rPr>
      </w:pPr>
      <w:r w:rsidRPr="00B56294">
        <w:rPr>
          <w:rFonts w:ascii="Century Gothic" w:eastAsia="Times New Roman" w:hAnsi="Century Gothic" w:cs="Arial"/>
          <w:b/>
          <w:bCs/>
          <w:color w:val="030303"/>
          <w:sz w:val="24"/>
          <w:szCs w:val="24"/>
        </w:rPr>
        <w:t xml:space="preserve">Revision Date: </w:t>
      </w:r>
      <w:r w:rsidR="004F4353">
        <w:rPr>
          <w:rFonts w:ascii="Century Gothic" w:eastAsia="Times New Roman" w:hAnsi="Century Gothic" w:cs="Times New Roman"/>
          <w:b/>
          <w:bCs/>
          <w:color w:val="030303"/>
          <w:sz w:val="24"/>
          <w:szCs w:val="24"/>
        </w:rPr>
        <w:t>January 2</w:t>
      </w:r>
      <w:r w:rsidR="004F4353">
        <w:rPr>
          <w:rFonts w:ascii="Century Gothic" w:eastAsia="Times New Roman" w:hAnsi="Century Gothic" w:cs="Times New Roman"/>
          <w:b/>
          <w:bCs/>
          <w:color w:val="030303"/>
          <w:sz w:val="24"/>
          <w:szCs w:val="24"/>
          <w:vertAlign w:val="superscript"/>
        </w:rPr>
        <w:t>nd</w:t>
      </w:r>
      <w:r w:rsidR="004F4353">
        <w:rPr>
          <w:rFonts w:ascii="Century Gothic" w:eastAsia="Times New Roman" w:hAnsi="Century Gothic" w:cs="Times New Roman"/>
          <w:b/>
          <w:bCs/>
          <w:color w:val="030303"/>
          <w:sz w:val="24"/>
          <w:szCs w:val="24"/>
        </w:rPr>
        <w:t xml:space="preserve"> 20</w:t>
      </w:r>
      <w:r w:rsidR="003F4E37">
        <w:rPr>
          <w:rFonts w:ascii="Century Gothic" w:eastAsia="Times New Roman" w:hAnsi="Century Gothic" w:cs="Times New Roman"/>
          <w:b/>
          <w:bCs/>
          <w:color w:val="030303"/>
          <w:sz w:val="24"/>
          <w:szCs w:val="24"/>
        </w:rPr>
        <w:t>2</w:t>
      </w:r>
      <w:r w:rsidR="00872D57">
        <w:rPr>
          <w:rFonts w:ascii="Century Gothic" w:eastAsia="Times New Roman" w:hAnsi="Century Gothic" w:cs="Times New Roman"/>
          <w:b/>
          <w:bCs/>
          <w:color w:val="030303"/>
          <w:sz w:val="24"/>
          <w:szCs w:val="24"/>
        </w:rPr>
        <w:t>2</w:t>
      </w:r>
    </w:p>
    <w:p w14:paraId="3E052DB6" w14:textId="77777777" w:rsidR="00A3693F" w:rsidRPr="00B56294" w:rsidRDefault="00A3693F" w:rsidP="00A3693F">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693F" w:rsidRPr="00B56294" w14:paraId="04F5BD30" w14:textId="77777777" w:rsidTr="00B56294">
        <w:tc>
          <w:tcPr>
            <w:tcW w:w="9360" w:type="dxa"/>
            <w:tcBorders>
              <w:top w:val="nil"/>
              <w:left w:val="nil"/>
              <w:bottom w:val="nil"/>
              <w:right w:val="nil"/>
            </w:tcBorders>
            <w:shd w:val="clear" w:color="auto" w:fill="FF0000"/>
            <w:tcMar>
              <w:top w:w="0" w:type="dxa"/>
              <w:left w:w="108" w:type="dxa"/>
              <w:bottom w:w="0" w:type="dxa"/>
              <w:right w:w="108" w:type="dxa"/>
            </w:tcMar>
            <w:hideMark/>
          </w:tcPr>
          <w:p w14:paraId="67B77AFA" w14:textId="77777777" w:rsidR="00A3693F" w:rsidRPr="00B56294" w:rsidRDefault="00A3693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1              </w:t>
            </w:r>
            <w:r w:rsidR="00B56294">
              <w:rPr>
                <w:rFonts w:ascii="Century Gothic" w:eastAsia="Times New Roman" w:hAnsi="Century Gothic" w:cs="Times New Roman"/>
                <w:bCs/>
                <w:color w:val="FFFFFF" w:themeColor="background1"/>
                <w:sz w:val="24"/>
                <w:szCs w:val="24"/>
              </w:rPr>
              <w:t>                            </w:t>
            </w:r>
            <w:r w:rsidRPr="00B56294">
              <w:rPr>
                <w:rFonts w:ascii="Century Gothic" w:eastAsia="Times New Roman" w:hAnsi="Century Gothic" w:cs="Times New Roman"/>
                <w:bCs/>
                <w:color w:val="FFFFFF" w:themeColor="background1"/>
                <w:sz w:val="24"/>
                <w:szCs w:val="24"/>
              </w:rPr>
              <w:t>PRODUCT AND COMPANY IDENTIFICATION</w:t>
            </w:r>
          </w:p>
        </w:tc>
      </w:tr>
    </w:tbl>
    <w:p w14:paraId="62679149" w14:textId="77777777" w:rsidR="00A3693F" w:rsidRPr="00B56294" w:rsidRDefault="00A3693F" w:rsidP="00A3693F">
      <w:pPr>
        <w:pStyle w:val="NoSpacing"/>
        <w:rPr>
          <w:rFonts w:ascii="Century Gothic" w:hAnsi="Century Gothic"/>
          <w:b/>
        </w:rPr>
      </w:pPr>
      <w:r w:rsidRPr="00B56294">
        <w:rPr>
          <w:rFonts w:ascii="Century Gothic" w:eastAsia="Times New Roman" w:hAnsi="Century Gothic" w:cs="Arial"/>
        </w:rPr>
        <w:br/>
      </w:r>
      <w:r w:rsidRPr="00B56294">
        <w:rPr>
          <w:rFonts w:ascii="Century Gothic" w:hAnsi="Century Gothic"/>
          <w:b/>
        </w:rPr>
        <w:t>PRODUCT</w:t>
      </w:r>
    </w:p>
    <w:p w14:paraId="3A3D75DC" w14:textId="77777777" w:rsidR="00A3693F" w:rsidRPr="00B56294" w:rsidRDefault="00A3693F" w:rsidP="00A3693F">
      <w:pPr>
        <w:pStyle w:val="NoSpacing"/>
        <w:rPr>
          <w:rFonts w:ascii="Century Gothic" w:hAnsi="Century Gothic"/>
        </w:rPr>
      </w:pPr>
      <w:r w:rsidRPr="00B56294">
        <w:rPr>
          <w:rFonts w:ascii="Century Gothic" w:hAnsi="Century Gothic"/>
        </w:rPr>
        <w:tab/>
      </w:r>
      <w:r w:rsidRPr="00B56294">
        <w:rPr>
          <w:rFonts w:ascii="Century Gothic" w:hAnsi="Century Gothic"/>
          <w:b/>
        </w:rPr>
        <w:t>Product Name:</w:t>
      </w:r>
      <w:r w:rsidRPr="00B56294">
        <w:rPr>
          <w:rFonts w:ascii="Century Gothic" w:hAnsi="Century Gothic"/>
        </w:rPr>
        <w:t xml:space="preserve"> </w:t>
      </w:r>
      <w:r w:rsidR="003131F8">
        <w:rPr>
          <w:rFonts w:ascii="Century Gothic" w:hAnsi="Century Gothic"/>
        </w:rPr>
        <w:t xml:space="preserve">Signal </w:t>
      </w:r>
      <w:r w:rsidRPr="00B56294">
        <w:rPr>
          <w:rFonts w:ascii="Century Gothic" w:hAnsi="Century Gothic"/>
        </w:rPr>
        <w:t xml:space="preserve">Tech Air Lube </w:t>
      </w:r>
    </w:p>
    <w:p w14:paraId="62DF58AE" w14:textId="77777777" w:rsidR="00A3693F" w:rsidRPr="00B56294" w:rsidRDefault="00A3693F" w:rsidP="00A3693F">
      <w:pPr>
        <w:pStyle w:val="NoSpacing"/>
        <w:rPr>
          <w:rFonts w:ascii="Century Gothic" w:hAnsi="Century Gothic"/>
        </w:rPr>
      </w:pPr>
    </w:p>
    <w:p w14:paraId="2D59EA4C" w14:textId="77777777" w:rsidR="00A3693F" w:rsidRPr="00B56294" w:rsidRDefault="00A3693F" w:rsidP="00A3693F">
      <w:pPr>
        <w:pStyle w:val="NoSpacing"/>
        <w:rPr>
          <w:rFonts w:ascii="Century Gothic" w:hAnsi="Century Gothic"/>
          <w:b/>
        </w:rPr>
      </w:pPr>
      <w:r w:rsidRPr="00B56294">
        <w:rPr>
          <w:rFonts w:ascii="Century Gothic" w:hAnsi="Century Gothic"/>
          <w:b/>
        </w:rPr>
        <w:t>COMPANY IDENTIFICATION</w:t>
      </w:r>
    </w:p>
    <w:p w14:paraId="6D7E2C57" w14:textId="77777777" w:rsidR="00A3693F" w:rsidRPr="00B56294" w:rsidRDefault="00A3693F" w:rsidP="00A3693F">
      <w:pPr>
        <w:pStyle w:val="NoSpacing"/>
        <w:rPr>
          <w:rFonts w:ascii="Century Gothic" w:hAnsi="Century Gothic"/>
        </w:rPr>
      </w:pPr>
      <w:r w:rsidRPr="00B56294">
        <w:rPr>
          <w:rFonts w:ascii="Century Gothic" w:hAnsi="Century Gothic"/>
        </w:rPr>
        <w:tab/>
      </w:r>
      <w:r w:rsidRPr="00B56294">
        <w:rPr>
          <w:rFonts w:ascii="Century Gothic" w:hAnsi="Century Gothic"/>
          <w:b/>
        </w:rPr>
        <w:t>Supplier:</w:t>
      </w:r>
      <w:r w:rsidRPr="00B56294">
        <w:rPr>
          <w:rFonts w:ascii="Century Gothic" w:hAnsi="Century Gothic"/>
        </w:rPr>
        <w:tab/>
        <w:t>Beacon Lubricants</w:t>
      </w:r>
    </w:p>
    <w:p w14:paraId="1C77F16E" w14:textId="77777777" w:rsidR="00A3693F" w:rsidRPr="00B56294" w:rsidRDefault="00A3693F" w:rsidP="00A3693F">
      <w:pPr>
        <w:pStyle w:val="NoSpacing"/>
        <w:rPr>
          <w:rFonts w:ascii="Century Gothic" w:hAnsi="Century Gothic"/>
        </w:rPr>
      </w:pPr>
      <w:r w:rsidRPr="00B56294">
        <w:rPr>
          <w:rFonts w:ascii="Century Gothic" w:hAnsi="Century Gothic"/>
        </w:rPr>
        <w:tab/>
      </w:r>
      <w:r w:rsidRPr="00B56294">
        <w:rPr>
          <w:rFonts w:ascii="Century Gothic" w:hAnsi="Century Gothic"/>
        </w:rPr>
        <w:tab/>
      </w:r>
      <w:r w:rsidRPr="00B56294">
        <w:rPr>
          <w:rFonts w:ascii="Century Gothic" w:hAnsi="Century Gothic"/>
        </w:rPr>
        <w:tab/>
        <w:t>P.O Box 754</w:t>
      </w:r>
    </w:p>
    <w:p w14:paraId="4075CB1F" w14:textId="77777777" w:rsidR="00A3693F" w:rsidRPr="00B56294" w:rsidRDefault="00A3693F" w:rsidP="00A3693F">
      <w:pPr>
        <w:pStyle w:val="NoSpacing"/>
        <w:rPr>
          <w:rFonts w:ascii="Century Gothic" w:hAnsi="Century Gothic"/>
        </w:rPr>
      </w:pPr>
      <w:r w:rsidRPr="00B56294">
        <w:rPr>
          <w:rFonts w:ascii="Century Gothic" w:hAnsi="Century Gothic"/>
        </w:rPr>
        <w:tab/>
      </w:r>
      <w:r w:rsidRPr="00B56294">
        <w:rPr>
          <w:rFonts w:ascii="Century Gothic" w:hAnsi="Century Gothic"/>
        </w:rPr>
        <w:tab/>
      </w:r>
      <w:r w:rsidRPr="00B56294">
        <w:rPr>
          <w:rFonts w:ascii="Century Gothic" w:hAnsi="Century Gothic"/>
        </w:rPr>
        <w:tab/>
        <w:t>Edinboro, PA 16412</w:t>
      </w:r>
    </w:p>
    <w:p w14:paraId="01FE4D04" w14:textId="77777777" w:rsidR="00A3693F" w:rsidRPr="00B56294" w:rsidRDefault="00A3693F" w:rsidP="00A3693F">
      <w:pPr>
        <w:pStyle w:val="NoSpacing"/>
        <w:rPr>
          <w:rFonts w:ascii="Century Gothic" w:hAnsi="Century Gothic"/>
        </w:rPr>
      </w:pPr>
    </w:p>
    <w:p w14:paraId="13DD4362" w14:textId="77777777" w:rsidR="00A3693F" w:rsidRPr="00B56294" w:rsidRDefault="00A3693F" w:rsidP="00A3693F">
      <w:pPr>
        <w:spacing w:after="0" w:line="240" w:lineRule="auto"/>
        <w:rPr>
          <w:rFonts w:ascii="Century Gothic" w:eastAsiaTheme="minorEastAsia" w:hAnsi="Century Gothic"/>
          <w:sz w:val="24"/>
          <w:szCs w:val="24"/>
        </w:rPr>
      </w:pPr>
      <w:r w:rsidRPr="00B56294">
        <w:rPr>
          <w:rFonts w:ascii="Century Gothic" w:eastAsiaTheme="minorEastAsia" w:hAnsi="Century Gothic"/>
          <w:b/>
          <w:sz w:val="24"/>
          <w:szCs w:val="24"/>
        </w:rPr>
        <w:t>Emergency Telephone:</w:t>
      </w:r>
      <w:r w:rsidRPr="00B56294">
        <w:rPr>
          <w:rFonts w:ascii="Century Gothic" w:eastAsiaTheme="minorEastAsia" w:hAnsi="Century Gothic"/>
          <w:sz w:val="24"/>
          <w:szCs w:val="24"/>
        </w:rPr>
        <w:tab/>
        <w:t>1-877-734-7334 – Beacon Lubricants, Inc.</w:t>
      </w:r>
      <w:r w:rsidRPr="00B56294">
        <w:rPr>
          <w:rFonts w:ascii="Century Gothic" w:eastAsiaTheme="minorEastAsia" w:hAnsi="Century Gothic"/>
          <w:sz w:val="24"/>
          <w:szCs w:val="24"/>
        </w:rPr>
        <w:br/>
      </w:r>
      <w:r w:rsidRPr="00B56294">
        <w:rPr>
          <w:rFonts w:ascii="Century Gothic" w:eastAsiaTheme="minorEastAsia" w:hAnsi="Century Gothic"/>
          <w:b/>
          <w:sz w:val="24"/>
          <w:szCs w:val="24"/>
        </w:rPr>
        <w:t>Emergency Telephone:</w:t>
      </w:r>
      <w:r w:rsidRPr="00B56294">
        <w:rPr>
          <w:rFonts w:ascii="Century Gothic" w:eastAsiaTheme="minorEastAsia" w:hAnsi="Century Gothic"/>
          <w:sz w:val="24"/>
          <w:szCs w:val="24"/>
        </w:rPr>
        <w:t xml:space="preserve"> </w:t>
      </w:r>
      <w:r w:rsidRPr="00B56294">
        <w:rPr>
          <w:rFonts w:ascii="Century Gothic" w:eastAsiaTheme="minorEastAsia" w:hAnsi="Century Gothic"/>
          <w:sz w:val="24"/>
          <w:szCs w:val="24"/>
        </w:rPr>
        <w:tab/>
        <w:t xml:space="preserve">1-800-424-9300 (24 hours) – Chemtrec approval </w:t>
      </w:r>
    </w:p>
    <w:p w14:paraId="2A6ED189" w14:textId="77777777" w:rsidR="00A3693F" w:rsidRPr="00B56294" w:rsidRDefault="00B56294" w:rsidP="00A3693F">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Website:</w:t>
      </w:r>
      <w:r w:rsidRPr="00B56294">
        <w:rPr>
          <w:rFonts w:ascii="Century Gothic" w:eastAsia="Times New Roman" w:hAnsi="Century Gothic" w:cs="Arial"/>
          <w:sz w:val="24"/>
          <w:szCs w:val="24"/>
        </w:rPr>
        <w:t xml:space="preserv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693F" w:rsidRPr="00B56294" w14:paraId="769B5AA6" w14:textId="77777777" w:rsidTr="00B56294">
        <w:tc>
          <w:tcPr>
            <w:tcW w:w="9360" w:type="dxa"/>
            <w:tcBorders>
              <w:top w:val="nil"/>
              <w:left w:val="nil"/>
              <w:bottom w:val="nil"/>
              <w:right w:val="nil"/>
            </w:tcBorders>
            <w:shd w:val="clear" w:color="auto" w:fill="FF0000"/>
            <w:tcMar>
              <w:top w:w="0" w:type="dxa"/>
              <w:left w:w="108" w:type="dxa"/>
              <w:bottom w:w="0" w:type="dxa"/>
              <w:right w:w="108" w:type="dxa"/>
            </w:tcMar>
            <w:hideMark/>
          </w:tcPr>
          <w:p w14:paraId="78693175"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2                                                HAZARDS IDENTIFICATION </w:t>
            </w:r>
          </w:p>
        </w:tc>
      </w:tr>
    </w:tbl>
    <w:p w14:paraId="40F189F7" w14:textId="77777777" w:rsidR="00A3693F" w:rsidRPr="00B56294" w:rsidRDefault="00A3693F" w:rsidP="00A3693F">
      <w:pPr>
        <w:spacing w:after="0" w:line="240" w:lineRule="auto"/>
        <w:rPr>
          <w:rFonts w:ascii="Century Gothic" w:eastAsia="Times New Roman" w:hAnsi="Century Gothic" w:cs="Arial"/>
          <w:b/>
          <w:sz w:val="24"/>
          <w:szCs w:val="24"/>
        </w:rPr>
      </w:pPr>
      <w:r w:rsidRPr="00B56294">
        <w:rPr>
          <w:rFonts w:ascii="Century Gothic" w:eastAsia="Times New Roman" w:hAnsi="Century Gothic" w:cs="Arial"/>
          <w:sz w:val="24"/>
          <w:szCs w:val="24"/>
        </w:rPr>
        <w:br/>
      </w:r>
      <w:r w:rsidRPr="00B56294">
        <w:rPr>
          <w:rFonts w:ascii="Century Gothic" w:eastAsia="Times New Roman" w:hAnsi="Century Gothic" w:cs="Arial"/>
          <w:b/>
          <w:sz w:val="24"/>
          <w:szCs w:val="24"/>
        </w:rPr>
        <w:t xml:space="preserve">This material is </w:t>
      </w:r>
      <w:r w:rsidR="004628C1" w:rsidRPr="00B56294">
        <w:rPr>
          <w:rFonts w:ascii="Century Gothic" w:eastAsia="Times New Roman" w:hAnsi="Century Gothic" w:cs="Arial"/>
          <w:b/>
          <w:sz w:val="24"/>
          <w:szCs w:val="24"/>
        </w:rPr>
        <w:t xml:space="preserve">not </w:t>
      </w:r>
      <w:r w:rsidRPr="00B56294">
        <w:rPr>
          <w:rFonts w:ascii="Century Gothic" w:eastAsia="Times New Roman" w:hAnsi="Century Gothic" w:cs="Arial"/>
          <w:b/>
          <w:sz w:val="24"/>
          <w:szCs w:val="24"/>
        </w:rPr>
        <w:t>hazardous according to regulatory guidelines (M)SDS Section 15). </w:t>
      </w:r>
    </w:p>
    <w:p w14:paraId="0D46A5B8" w14:textId="77777777" w:rsidR="00A3693F" w:rsidRPr="00B56294" w:rsidRDefault="00A3693F" w:rsidP="00A3693F">
      <w:pPr>
        <w:spacing w:after="0" w:line="240" w:lineRule="auto"/>
        <w:rPr>
          <w:rFonts w:ascii="Century Gothic" w:eastAsia="Times New Roman" w:hAnsi="Century Gothic" w:cs="Arial"/>
          <w:sz w:val="24"/>
          <w:szCs w:val="24"/>
        </w:rPr>
      </w:pPr>
    </w:p>
    <w:p w14:paraId="6A504747"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t>Other hazard information: </w:t>
      </w:r>
    </w:p>
    <w:p w14:paraId="24CB5AEB" w14:textId="77777777" w:rsidR="00A3693F" w:rsidRPr="00B56294" w:rsidRDefault="00A3693F" w:rsidP="00A3693F">
      <w:pPr>
        <w:spacing w:after="0" w:line="240" w:lineRule="auto"/>
        <w:rPr>
          <w:rFonts w:ascii="Century Gothic" w:eastAsia="Times New Roman" w:hAnsi="Century Gothic" w:cs="Arial"/>
          <w:sz w:val="24"/>
          <w:szCs w:val="24"/>
        </w:rPr>
      </w:pPr>
    </w:p>
    <w:p w14:paraId="286BA0F8" w14:textId="77777777" w:rsidR="00A3693F" w:rsidRPr="00B56294" w:rsidRDefault="00A3693F" w:rsidP="00A3693F">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t>HAZARD NOT OTHERWISE CLASSIFIED (HNOC):  </w:t>
      </w:r>
      <w:r w:rsidRPr="00B56294">
        <w:rPr>
          <w:rFonts w:ascii="Century Gothic" w:eastAsia="Times New Roman" w:hAnsi="Century Gothic" w:cs="Arial"/>
          <w:sz w:val="24"/>
          <w:szCs w:val="24"/>
        </w:rPr>
        <w:t>None as defined under 29 CFR 1900. 1200.</w:t>
      </w:r>
      <w:r w:rsidRPr="00B56294">
        <w:rPr>
          <w:rFonts w:ascii="Century Gothic" w:eastAsia="Times New Roman" w:hAnsi="Century Gothic" w:cs="Arial"/>
          <w:b/>
          <w:bCs/>
          <w:sz w:val="24"/>
          <w:szCs w:val="24"/>
        </w:rPr>
        <w:t>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PHYSICAL / CHEMICAL HAZARDS </w:t>
      </w:r>
      <w:r w:rsidRPr="00B56294">
        <w:rPr>
          <w:rFonts w:ascii="Century Gothic" w:eastAsia="Times New Roman" w:hAnsi="Century Gothic" w:cs="Arial"/>
          <w:sz w:val="24"/>
          <w:szCs w:val="24"/>
        </w:rPr>
        <w:br/>
        <w:t>No significant hazards</w:t>
      </w:r>
      <w:r w:rsidRPr="00B56294">
        <w:rPr>
          <w:rFonts w:ascii="Century Gothic" w:eastAsia="Times New Roman" w:hAnsi="Century Gothic" w:cs="Arial"/>
          <w:b/>
          <w:bCs/>
          <w:sz w:val="24"/>
          <w:szCs w:val="24"/>
        </w:rPr>
        <w:t> </w:t>
      </w:r>
      <w:r w:rsidRPr="00B56294">
        <w:rPr>
          <w:rFonts w:ascii="Century Gothic" w:eastAsia="Times New Roman" w:hAnsi="Century Gothic" w:cs="Arial"/>
          <w:b/>
          <w:bCs/>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HEALTH HAZARDS</w:t>
      </w:r>
      <w:r w:rsidRPr="00B56294">
        <w:rPr>
          <w:rFonts w:ascii="Century Gothic" w:eastAsia="Times New Roman" w:hAnsi="Century Gothic" w:cs="Arial"/>
          <w:sz w:val="24"/>
          <w:szCs w:val="24"/>
        </w:rPr>
        <w:br/>
        <w:t>High-pressure injection under skin may cause serious damage. Mists may be irritating to the eyes, nose, throat and lungs. May be irritating to nose, throat, and lungs.</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ENVIRONMENTAL HAZARDS</w:t>
      </w:r>
      <w:r w:rsidRPr="00B56294">
        <w:rPr>
          <w:rFonts w:ascii="Century Gothic" w:eastAsia="Times New Roman" w:hAnsi="Century Gothic" w:cs="Arial"/>
          <w:sz w:val="24"/>
          <w:szCs w:val="24"/>
        </w:rPr>
        <w:br/>
        <w:t>No significant hazards.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NFPA Hazard ID:</w:t>
      </w:r>
      <w:r w:rsidRPr="00B56294">
        <w:rPr>
          <w:rFonts w:ascii="Century Gothic" w:eastAsia="Times New Roman" w:hAnsi="Century Gothic" w:cs="Arial"/>
          <w:sz w:val="24"/>
          <w:szCs w:val="24"/>
        </w:rPr>
        <w:t xml:space="preserve"> Health:     0 Flammability:     1 Reactivity:     0</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HMIS Hazard  ID: </w:t>
      </w:r>
      <w:r w:rsidRPr="00B56294">
        <w:rPr>
          <w:rFonts w:ascii="Century Gothic" w:eastAsia="Times New Roman" w:hAnsi="Century Gothic" w:cs="Arial"/>
          <w:sz w:val="24"/>
          <w:szCs w:val="24"/>
        </w:rPr>
        <w:t xml:space="preserve"> Health:   0 Flammability:     1 Reactivity:     0</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Note:</w:t>
      </w:r>
      <w:r w:rsidRPr="00B56294">
        <w:rPr>
          <w:rFonts w:ascii="Century Gothic" w:eastAsia="Times New Roman" w:hAnsi="Century Gothic" w:cs="Arial"/>
          <w:sz w:val="24"/>
          <w:szCs w:val="24"/>
        </w:rPr>
        <w:t xml:space="preserve">  This material should not be used for any other purpose than the indented </w:t>
      </w:r>
      <w:r w:rsidRPr="00B56294">
        <w:rPr>
          <w:rFonts w:ascii="Century Gothic" w:eastAsia="Times New Roman" w:hAnsi="Century Gothic" w:cs="Arial"/>
          <w:sz w:val="24"/>
          <w:szCs w:val="24"/>
        </w:rPr>
        <w:lastRenderedPageBreak/>
        <w:t>use in Section 1 without expert advice. Health studies have shown that chemical exposure may cause potential human health risks which may vary from person to person. </w:t>
      </w:r>
      <w:r w:rsidRPr="00B56294">
        <w:rPr>
          <w:rFonts w:ascii="Century Gothic" w:eastAsia="Times New Roman" w:hAnsi="Century Gothic" w:cs="Arial"/>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7926A83C"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440B1B64"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3                                               COMPOSITION / INFORMATION ON INGREDIENTS</w:t>
            </w:r>
          </w:p>
        </w:tc>
      </w:tr>
    </w:tbl>
    <w:p w14:paraId="5B110EFD"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br/>
        <w:t>This material is defined as a mixture.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3192"/>
        <w:gridCol w:w="3192"/>
        <w:gridCol w:w="3192"/>
      </w:tblGrid>
      <w:tr w:rsidR="00A3693F" w:rsidRPr="00B56294" w14:paraId="3155792E" w14:textId="77777777" w:rsidTr="00A3693F">
        <w:tc>
          <w:tcPr>
            <w:tcW w:w="3192" w:type="dxa"/>
          </w:tcPr>
          <w:p w14:paraId="3878F03A" w14:textId="77777777" w:rsidR="00A3693F" w:rsidRPr="00B56294" w:rsidRDefault="00A3693F"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Ingredient Name</w:t>
            </w:r>
          </w:p>
        </w:tc>
        <w:tc>
          <w:tcPr>
            <w:tcW w:w="3192" w:type="dxa"/>
          </w:tcPr>
          <w:p w14:paraId="12A4C5A1" w14:textId="77777777" w:rsidR="00A3693F" w:rsidRPr="00B56294" w:rsidRDefault="00A3693F"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CAS Number</w:t>
            </w:r>
          </w:p>
        </w:tc>
        <w:tc>
          <w:tcPr>
            <w:tcW w:w="3192" w:type="dxa"/>
          </w:tcPr>
          <w:p w14:paraId="563E5BD2" w14:textId="77777777" w:rsidR="00A3693F" w:rsidRPr="00B56294" w:rsidRDefault="00A3693F"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 by weight</w:t>
            </w:r>
          </w:p>
        </w:tc>
      </w:tr>
      <w:tr w:rsidR="00A3693F" w:rsidRPr="00B56294" w14:paraId="3A5E78A2" w14:textId="77777777" w:rsidTr="00A3693F">
        <w:tc>
          <w:tcPr>
            <w:tcW w:w="3192" w:type="dxa"/>
          </w:tcPr>
          <w:p w14:paraId="3716B726" w14:textId="77777777" w:rsidR="00A3693F" w:rsidRPr="00B56294" w:rsidRDefault="00A3693F"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Water</w:t>
            </w:r>
          </w:p>
          <w:p w14:paraId="7D7CF3AF" w14:textId="77777777" w:rsidR="00A3693F" w:rsidRPr="00B56294" w:rsidRDefault="00A3693F"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Disodium, 2,5-dimercapto-1,3,4-thiadiazole</w:t>
            </w:r>
          </w:p>
        </w:tc>
        <w:tc>
          <w:tcPr>
            <w:tcW w:w="3192" w:type="dxa"/>
          </w:tcPr>
          <w:p w14:paraId="3D9D7A55" w14:textId="77777777" w:rsidR="00A3693F" w:rsidRPr="00B56294" w:rsidRDefault="00A3693F"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7732-18-5</w:t>
            </w:r>
          </w:p>
          <w:p w14:paraId="5D6AEF29" w14:textId="77777777" w:rsidR="00A3693F" w:rsidRPr="00B56294" w:rsidRDefault="00A3693F"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55906-42-8</w:t>
            </w:r>
          </w:p>
        </w:tc>
        <w:tc>
          <w:tcPr>
            <w:tcW w:w="3192" w:type="dxa"/>
          </w:tcPr>
          <w:p w14:paraId="6A65E164" w14:textId="77777777" w:rsidR="00A3693F" w:rsidRPr="00B56294" w:rsidRDefault="003340F9"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1</w:t>
            </w:r>
            <w:r w:rsidR="00A3693F" w:rsidRPr="00B56294">
              <w:rPr>
                <w:rFonts w:ascii="Century Gothic" w:eastAsia="Times New Roman" w:hAnsi="Century Gothic" w:cs="Arial"/>
                <w:sz w:val="24"/>
                <w:szCs w:val="24"/>
              </w:rPr>
              <w:t>0</w:t>
            </w:r>
          </w:p>
          <w:p w14:paraId="6184AFF0" w14:textId="77777777" w:rsidR="00A3693F" w:rsidRPr="00B56294" w:rsidRDefault="003340F9"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1</w:t>
            </w:r>
          </w:p>
        </w:tc>
      </w:tr>
      <w:tr w:rsidR="003340F9" w:rsidRPr="00B56294" w14:paraId="0CCA23E4" w14:textId="77777777" w:rsidTr="00A3693F">
        <w:tc>
          <w:tcPr>
            <w:tcW w:w="3192" w:type="dxa"/>
          </w:tcPr>
          <w:p w14:paraId="5546AEA6" w14:textId="77777777" w:rsidR="003340F9" w:rsidRPr="00B56294" w:rsidRDefault="003340F9"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Propylene Glycol</w:t>
            </w:r>
          </w:p>
        </w:tc>
        <w:tc>
          <w:tcPr>
            <w:tcW w:w="3192" w:type="dxa"/>
          </w:tcPr>
          <w:p w14:paraId="13A7014E" w14:textId="77777777" w:rsidR="003340F9" w:rsidRPr="00B56294" w:rsidRDefault="003340F9"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57-556</w:t>
            </w:r>
          </w:p>
        </w:tc>
        <w:tc>
          <w:tcPr>
            <w:tcW w:w="3192" w:type="dxa"/>
          </w:tcPr>
          <w:p w14:paraId="08E9CF80" w14:textId="77777777" w:rsidR="003340F9" w:rsidRPr="00B56294" w:rsidRDefault="003340F9" w:rsidP="00A3693F">
            <w:pPr>
              <w:rPr>
                <w:rFonts w:ascii="Century Gothic" w:eastAsia="Times New Roman" w:hAnsi="Century Gothic" w:cs="Arial"/>
                <w:sz w:val="24"/>
                <w:szCs w:val="24"/>
              </w:rPr>
            </w:pPr>
            <w:r w:rsidRPr="00B56294">
              <w:rPr>
                <w:rFonts w:ascii="Century Gothic" w:eastAsia="Times New Roman" w:hAnsi="Century Gothic" w:cs="Arial"/>
                <w:sz w:val="24"/>
                <w:szCs w:val="24"/>
              </w:rPr>
              <w:t>90%</w:t>
            </w:r>
          </w:p>
        </w:tc>
      </w:tr>
    </w:tbl>
    <w:p w14:paraId="41CF92C2" w14:textId="77777777" w:rsidR="00A3693F" w:rsidRPr="00B56294" w:rsidRDefault="00A3693F" w:rsidP="00A3693F">
      <w:pPr>
        <w:spacing w:after="0" w:line="240" w:lineRule="auto"/>
        <w:rPr>
          <w:rFonts w:ascii="Century Gothic" w:eastAsia="Times New Roman" w:hAnsi="Century Gothic" w:cs="Arial"/>
          <w:sz w:val="24"/>
          <w:szCs w:val="24"/>
        </w:rPr>
      </w:pPr>
    </w:p>
    <w:p w14:paraId="533DE767"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*All Concentrations are percent by weight unless material is a gas. Gas concentrations are in the percent by volume. </w:t>
      </w:r>
    </w:p>
    <w:p w14:paraId="08E34CD6" w14:textId="77777777" w:rsidR="00A3693F" w:rsidRPr="00B56294" w:rsidRDefault="00A3693F" w:rsidP="00A3693F">
      <w:pPr>
        <w:spacing w:after="0" w:line="240" w:lineRule="auto"/>
        <w:rPr>
          <w:rFonts w:ascii="Century Gothic" w:eastAsia="Times New Roman" w:hAnsi="Century Gothic" w:cs="Arial"/>
          <w:sz w:val="24"/>
          <w:szCs w:val="24"/>
        </w:rPr>
      </w:pPr>
    </w:p>
    <w:p w14:paraId="13076F3C"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F42FAD5" w14:textId="77777777" w:rsidR="00A3693F" w:rsidRPr="00B56294" w:rsidRDefault="00A3693F" w:rsidP="00A3693F">
      <w:pPr>
        <w:spacing w:after="0" w:line="240" w:lineRule="auto"/>
        <w:rPr>
          <w:rFonts w:ascii="Century Gothic" w:eastAsia="Times New Roman" w:hAnsi="Century Gothic"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232C779D"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679D9365"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4                                                FIRST AID MEASURES</w:t>
            </w:r>
          </w:p>
        </w:tc>
      </w:tr>
    </w:tbl>
    <w:p w14:paraId="7BF5876A"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br/>
        <w:t>INHALATION</w:t>
      </w:r>
      <w:r w:rsidRPr="00B56294">
        <w:rPr>
          <w:rFonts w:ascii="Century Gothic" w:eastAsia="Times New Roman" w:hAnsi="Century Gothic" w:cs="Arial"/>
          <w:sz w:val="24"/>
          <w:szCs w:val="24"/>
        </w:rPr>
        <w:br/>
      </w:r>
      <w:r w:rsidR="009237F9" w:rsidRPr="00B56294">
        <w:rPr>
          <w:rFonts w:ascii="Century Gothic" w:eastAsia="Times New Roman" w:hAnsi="Century Gothic" w:cs="Arial"/>
          <w:sz w:val="24"/>
          <w:szCs w:val="24"/>
        </w:rPr>
        <w:t>Remove exposed person to fresh air if adverse effects are observed</w:t>
      </w:r>
      <w:r w:rsidRPr="00B56294">
        <w:rPr>
          <w:rFonts w:ascii="Century Gothic" w:eastAsia="Times New Roman" w:hAnsi="Century Gothic" w:cs="Arial"/>
          <w:sz w:val="24"/>
          <w:szCs w:val="24"/>
        </w:rPr>
        <w:t xml:space="preserve"> </w:t>
      </w:r>
      <w:r w:rsidR="009237F9" w:rsidRPr="00B56294">
        <w:rPr>
          <w:rFonts w:ascii="Century Gothic" w:eastAsia="Times New Roman" w:hAnsi="Century Gothic" w:cs="Arial"/>
          <w:sz w:val="24"/>
          <w:szCs w:val="24"/>
        </w:rPr>
        <w:t>.</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SKIN CONTACT</w:t>
      </w:r>
      <w:r w:rsidRPr="00B56294">
        <w:rPr>
          <w:rFonts w:ascii="Century Gothic" w:eastAsia="Times New Roman" w:hAnsi="Century Gothic" w:cs="Arial"/>
          <w:sz w:val="24"/>
          <w:szCs w:val="24"/>
        </w:rPr>
        <w:br/>
        <w:t xml:space="preserve">Wash with soap and water. If skin irritation occurs, get medical attention.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EYE CONTACT</w:t>
      </w:r>
      <w:r w:rsidRPr="00B56294">
        <w:rPr>
          <w:rFonts w:ascii="Century Gothic" w:eastAsia="Times New Roman" w:hAnsi="Century Gothic" w:cs="Arial"/>
          <w:sz w:val="24"/>
          <w:szCs w:val="24"/>
        </w:rPr>
        <w:br/>
        <w:t>Rinse cautiously with water for several minutes. Remove contact lenses, if present and easy to do. Continue rinsing. Immediately call a POSION CENTER/doctor.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lastRenderedPageBreak/>
        <w:t>INGESTION</w:t>
      </w:r>
      <w:r w:rsidRPr="00B56294">
        <w:rPr>
          <w:rFonts w:ascii="Century Gothic" w:eastAsia="Times New Roman" w:hAnsi="Century Gothic" w:cs="Arial"/>
          <w:sz w:val="24"/>
          <w:szCs w:val="24"/>
        </w:rPr>
        <w:br/>
      </w:r>
      <w:r w:rsidR="009237F9" w:rsidRPr="00B56294">
        <w:rPr>
          <w:rFonts w:ascii="Century Gothic" w:eastAsia="Times New Roman" w:hAnsi="Century Gothic" w:cs="Arial"/>
          <w:sz w:val="24"/>
          <w:szCs w:val="24"/>
        </w:rPr>
        <w:t xml:space="preserve">Treat symptomatically. Get medical attention. </w:t>
      </w:r>
      <w:r w:rsidRPr="00B56294">
        <w:rPr>
          <w:rFonts w:ascii="Century Gothic" w:eastAsia="Times New Roman" w:hAnsi="Century Gothic" w:cs="Arial"/>
          <w:sz w:val="24"/>
          <w:szCs w:val="24"/>
        </w:rPr>
        <w:t> </w:t>
      </w:r>
    </w:p>
    <w:p w14:paraId="1558F55B" w14:textId="77777777" w:rsidR="00A3693F" w:rsidRPr="00B56294" w:rsidRDefault="00A3693F" w:rsidP="00A3693F">
      <w:pPr>
        <w:spacing w:after="0" w:line="240" w:lineRule="auto"/>
        <w:rPr>
          <w:rFonts w:ascii="Century Gothic" w:eastAsia="Times New Roman" w:hAnsi="Century Gothic" w:cs="Arial"/>
          <w:sz w:val="24"/>
          <w:szCs w:val="24"/>
        </w:rPr>
      </w:pPr>
    </w:p>
    <w:p w14:paraId="10C963AD" w14:textId="77777777" w:rsidR="00A3693F" w:rsidRPr="00B56294" w:rsidRDefault="00A3693F" w:rsidP="00A3693F">
      <w:pPr>
        <w:spacing w:after="0" w:line="240" w:lineRule="auto"/>
        <w:rPr>
          <w:rFonts w:ascii="Century Gothic" w:eastAsia="Times New Roman" w:hAnsi="Century Gothic"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6E506EBA"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19019F7E"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5                                                     FIRE FIGHTING MEASURES </w:t>
            </w:r>
          </w:p>
        </w:tc>
      </w:tr>
    </w:tbl>
    <w:p w14:paraId="1EB4BA20" w14:textId="77777777" w:rsidR="00A3693F" w:rsidRPr="00B56294" w:rsidRDefault="00A3693F" w:rsidP="00A3693F">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br/>
        <w:t>EXTINGUISHING MEDIA </w:t>
      </w:r>
      <w:r w:rsidRPr="00B56294">
        <w:rPr>
          <w:rFonts w:ascii="Century Gothic" w:eastAsia="Times New Roman" w:hAnsi="Century Gothic" w:cs="Arial"/>
          <w:b/>
          <w:bCs/>
          <w:sz w:val="24"/>
          <w:szCs w:val="24"/>
        </w:rPr>
        <w:br/>
        <w:t>Appropriate Extinguishing Media:</w:t>
      </w:r>
      <w:r w:rsidRPr="00B56294">
        <w:rPr>
          <w:rFonts w:ascii="Century Gothic" w:eastAsia="Times New Roman" w:hAnsi="Century Gothic" w:cs="Arial"/>
          <w:sz w:val="24"/>
          <w:szCs w:val="24"/>
        </w:rPr>
        <w:t> </w:t>
      </w:r>
      <w:r w:rsidR="009237F9" w:rsidRPr="00B56294">
        <w:rPr>
          <w:rFonts w:ascii="Century Gothic" w:eastAsia="Times New Roman" w:hAnsi="Century Gothic" w:cs="Arial"/>
          <w:sz w:val="24"/>
          <w:szCs w:val="24"/>
        </w:rPr>
        <w:t>CO2, dry chemical, foam, water spray, water fog</w:t>
      </w:r>
      <w:r w:rsidRPr="00B56294">
        <w:rPr>
          <w:rFonts w:ascii="Century Gothic" w:eastAsia="Times New Roman" w:hAnsi="Century Gothic" w:cs="Arial"/>
          <w:sz w:val="24"/>
          <w:szCs w:val="24"/>
        </w:rPr>
        <w:t>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Inappropriate Extinguishing Media:</w:t>
      </w:r>
      <w:r w:rsidR="009237F9" w:rsidRPr="00B56294">
        <w:rPr>
          <w:rFonts w:ascii="Century Gothic" w:eastAsia="Times New Roman" w:hAnsi="Century Gothic" w:cs="Arial"/>
          <w:sz w:val="24"/>
          <w:szCs w:val="24"/>
        </w:rPr>
        <w:t xml:space="preserve"> Not determined</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FIRE FIGHTING</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Fire Fighting Instructions:</w:t>
      </w:r>
      <w:r w:rsidRPr="00B56294">
        <w:rPr>
          <w:rFonts w:ascii="Century Gothic" w:eastAsia="Times New Roman" w:hAnsi="Century Gothic" w:cs="Arial"/>
          <w:sz w:val="24"/>
          <w:szCs w:val="24"/>
        </w:rPr>
        <w:t> </w:t>
      </w:r>
      <w:r w:rsidR="009237F9" w:rsidRPr="00B56294">
        <w:rPr>
          <w:rFonts w:ascii="Century Gothic" w:eastAsia="Times New Roman" w:hAnsi="Century Gothic" w:cs="Arial"/>
          <w:sz w:val="24"/>
          <w:szCs w:val="24"/>
        </w:rPr>
        <w:t xml:space="preserve">N/A </w:t>
      </w:r>
      <w:r w:rsidR="009237F9" w:rsidRPr="00B56294">
        <w:rPr>
          <w:rFonts w:ascii="Century Gothic" w:eastAsia="Times New Roman" w:hAnsi="Century Gothic" w:cs="Arial"/>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5CE4B16C"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16552E7A"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6                                                           ACCIDENTAL RELEASE MEASURES </w:t>
            </w:r>
          </w:p>
        </w:tc>
      </w:tr>
    </w:tbl>
    <w:p w14:paraId="4C77516D" w14:textId="77777777" w:rsidR="00A3693F" w:rsidRPr="00B56294" w:rsidRDefault="00A3693F" w:rsidP="00A3693F">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br/>
        <w:t>NOTIFICATION PROCEDURES</w:t>
      </w:r>
      <w:r w:rsidRPr="00B56294">
        <w:rPr>
          <w:rFonts w:ascii="Century Gothic" w:eastAsia="Times New Roman" w:hAnsi="Century Gothic" w:cs="Arial"/>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PROTECTIVE MEASURES</w:t>
      </w:r>
      <w:r w:rsidRPr="00B56294">
        <w:rPr>
          <w:rFonts w:ascii="Century Gothic" w:eastAsia="Times New Roman" w:hAnsi="Century Gothic" w:cs="Arial"/>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SPILL MANAGEMENT </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Land Spill:</w:t>
      </w:r>
      <w:r w:rsidRPr="00B56294">
        <w:rPr>
          <w:rFonts w:ascii="Century Gothic" w:eastAsia="Times New Roman" w:hAnsi="Century Gothic" w:cs="Arial"/>
          <w:sz w:val="24"/>
          <w:szCs w:val="24"/>
        </w:rPr>
        <w:t xml:space="preserve"> Stop leak if you can do it without risk. Recover by pumping or with suitable absorbent. </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Water Spill:</w:t>
      </w:r>
      <w:r w:rsidRPr="00B56294">
        <w:rPr>
          <w:rFonts w:ascii="Century Gothic" w:eastAsia="Times New Roman" w:hAnsi="Century Gothic" w:cs="Arial"/>
          <w:sz w:val="24"/>
          <w:szCs w:val="24"/>
        </w:rPr>
        <w:t>  Stop leak if you can do it without risk. Confine the spill immediately with booms. Warn other shipping. Remove from the surface by skimming or with suitable absorbents. Seek the advice of a specialist before using dispersants.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t xml:space="preserve">Water spill and land spill recommendations are based on the most likely spill scenario for this material; however, geographic conditions, wind, temperature, </w:t>
      </w:r>
      <w:r w:rsidRPr="00B56294">
        <w:rPr>
          <w:rFonts w:ascii="Century Gothic" w:eastAsia="Times New Roman" w:hAnsi="Century Gothic" w:cs="Arial"/>
          <w:sz w:val="24"/>
          <w:szCs w:val="24"/>
        </w:rPr>
        <w:lastRenderedPageBreak/>
        <w:t>(and in the case of a water spill) wave and current direction and speed may greatly influence the appropriate action to be taken. For this reason, local experts should be consulted. Note: Local regulations may prescribe or limit action to be taken.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ENVIRONMENTAL PRECAUTIONS</w:t>
      </w:r>
      <w:r w:rsidRPr="00B56294">
        <w:rPr>
          <w:rFonts w:ascii="Century Gothic" w:eastAsia="Times New Roman" w:hAnsi="Century Gothic" w:cs="Arial"/>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5C328392"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187BB098"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7                                                HANDLING AND STORAGE </w:t>
            </w:r>
          </w:p>
        </w:tc>
      </w:tr>
    </w:tbl>
    <w:p w14:paraId="18EE5567"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br/>
        <w:t>HANDLING</w:t>
      </w:r>
    </w:p>
    <w:p w14:paraId="0A4F1056" w14:textId="77777777" w:rsidR="00A3693F" w:rsidRPr="00B56294" w:rsidRDefault="00A3693F" w:rsidP="00A3693F">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Static Accumulator:</w:t>
      </w:r>
      <w:r w:rsidRPr="00B56294">
        <w:rPr>
          <w:rFonts w:ascii="Century Gothic" w:eastAsia="Times New Roman" w:hAnsi="Century Gothic" w:cs="Arial"/>
          <w:sz w:val="24"/>
          <w:szCs w:val="24"/>
        </w:rPr>
        <w:t xml:space="preserve"> This material is a static accumulator.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STORAGE:</w:t>
      </w:r>
      <w:r w:rsidRPr="00B56294">
        <w:rPr>
          <w:rFonts w:ascii="Century Gothic" w:eastAsia="Times New Roman" w:hAnsi="Century Gothic" w:cs="Arial"/>
          <w:b/>
          <w:bCs/>
          <w:sz w:val="24"/>
          <w:szCs w:val="24"/>
        </w:rPr>
        <w:br/>
      </w:r>
      <w:r w:rsidRPr="00B56294">
        <w:rPr>
          <w:rFonts w:ascii="Century Gothic" w:eastAsia="Times New Roman" w:hAnsi="Century Gothic" w:cs="Arial"/>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26425687"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16326466"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8                                                EXPOSURE CONTROLS / PERSONAL PROTECTION</w:t>
            </w:r>
          </w:p>
        </w:tc>
      </w:tr>
    </w:tbl>
    <w:p w14:paraId="59FE38BB" w14:textId="77777777" w:rsidR="00A3693F" w:rsidRPr="00B56294" w:rsidRDefault="00A3693F" w:rsidP="00A3693F">
      <w:pPr>
        <w:spacing w:after="0" w:line="240" w:lineRule="auto"/>
        <w:rPr>
          <w:rFonts w:ascii="Century Gothic" w:eastAsia="Times New Roman" w:hAnsi="Century Gothic" w:cs="Arial"/>
          <w:sz w:val="24"/>
          <w:szCs w:val="24"/>
        </w:rPr>
      </w:pPr>
    </w:p>
    <w:p w14:paraId="08D346E9" w14:textId="77777777" w:rsidR="00A3693F" w:rsidRPr="00B56294" w:rsidRDefault="00A3693F" w:rsidP="00A3693F">
      <w:pPr>
        <w:spacing w:after="0" w:line="240" w:lineRule="auto"/>
        <w:rPr>
          <w:rFonts w:ascii="Century Gothic" w:eastAsia="Times New Roman" w:hAnsi="Century Gothic" w:cs="Arial"/>
          <w:sz w:val="24"/>
          <w:szCs w:val="24"/>
        </w:rPr>
      </w:pPr>
    </w:p>
    <w:p w14:paraId="2C541E7B"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t>Exposure limits/standards for material that can be formed when handling this product: </w:t>
      </w:r>
      <w:r w:rsidRPr="00B56294">
        <w:rPr>
          <w:rFonts w:ascii="Century Gothic" w:eastAsia="Times New Roman" w:hAnsi="Century Gothic" w:cs="Arial"/>
          <w:sz w:val="24"/>
          <w:szCs w:val="24"/>
        </w:rPr>
        <w:t>When mists/aerosols can occur the following are recommended: 5 mg/m3 - ACGIH TLV (inhalable fraction), 5 mg.m3 - OSHA PEL.</w:t>
      </w:r>
    </w:p>
    <w:p w14:paraId="32221340" w14:textId="77777777" w:rsidR="00A3693F" w:rsidRPr="00B56294" w:rsidRDefault="00A3693F" w:rsidP="00A3693F">
      <w:pPr>
        <w:spacing w:after="0" w:line="240" w:lineRule="auto"/>
        <w:rPr>
          <w:rFonts w:ascii="Century Gothic" w:eastAsia="Times New Roman" w:hAnsi="Century Gothic" w:cs="Arial"/>
          <w:sz w:val="24"/>
          <w:szCs w:val="24"/>
        </w:rPr>
      </w:pPr>
    </w:p>
    <w:p w14:paraId="60494B6D"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NOTE: Limits/standards shown for guidance only. Follow applicable regulations.</w:t>
      </w:r>
    </w:p>
    <w:p w14:paraId="76DF71E1"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br/>
        <w:t>No biological limits allocated.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ENGINEERING CONTROLS</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t>The level of protection and toes of controls necessary will vary depending upon potential exposure conditions. </w:t>
      </w:r>
      <w:r w:rsidRPr="00B56294">
        <w:rPr>
          <w:rFonts w:ascii="Century Gothic" w:eastAsia="Times New Roman" w:hAnsi="Century Gothic" w:cs="Arial"/>
          <w:sz w:val="24"/>
          <w:szCs w:val="24"/>
        </w:rPr>
        <w:br/>
        <w:t>Control measures to consider:</w:t>
      </w:r>
      <w:r w:rsidRPr="00B56294">
        <w:rPr>
          <w:rFonts w:ascii="Century Gothic" w:eastAsia="Times New Roman" w:hAnsi="Century Gothic" w:cs="Arial"/>
          <w:sz w:val="24"/>
          <w:szCs w:val="24"/>
        </w:rPr>
        <w:br/>
        <w:t>No special requirements under ordinary conditions of use and with adequate                   ventilation.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PERSONAL PROTECTION</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Respiratory Protection:</w:t>
      </w:r>
      <w:r w:rsidRPr="00B56294">
        <w:rPr>
          <w:rFonts w:ascii="Century Gothic" w:eastAsia="Times New Roman" w:hAnsi="Century Gothic" w:cs="Arial"/>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B56294">
        <w:rPr>
          <w:rFonts w:ascii="Century Gothic" w:eastAsia="Times New Roman" w:hAnsi="Century Gothic" w:cs="Arial"/>
          <w:sz w:val="24"/>
          <w:szCs w:val="24"/>
        </w:rPr>
        <w:br/>
        <w:t>No special requirements under ordinary conditions of use and with adequate ventilation.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Hand Protection: </w:t>
      </w:r>
      <w:r w:rsidRPr="00B56294">
        <w:rPr>
          <w:rFonts w:ascii="Century Gothic" w:eastAsia="Times New Roman" w:hAnsi="Century Gothic" w:cs="Arial"/>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B56294">
        <w:rPr>
          <w:rFonts w:ascii="Century Gothic" w:eastAsia="Times New Roman" w:hAnsi="Century Gothic" w:cs="Arial"/>
          <w:sz w:val="24"/>
          <w:szCs w:val="24"/>
        </w:rPr>
        <w:br/>
        <w:t>No protection is ordinarily required under normal conditions of use. </w:t>
      </w:r>
    </w:p>
    <w:p w14:paraId="7520CA68"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lastRenderedPageBreak/>
        <w:br/>
      </w:r>
      <w:r w:rsidRPr="00B56294">
        <w:rPr>
          <w:rFonts w:ascii="Century Gothic" w:eastAsia="Times New Roman" w:hAnsi="Century Gothic" w:cs="Arial"/>
          <w:b/>
          <w:bCs/>
          <w:sz w:val="24"/>
          <w:szCs w:val="24"/>
        </w:rPr>
        <w:t>Eye Protection: </w:t>
      </w:r>
      <w:r w:rsidRPr="00B56294">
        <w:rPr>
          <w:rFonts w:ascii="Century Gothic" w:eastAsia="Times New Roman" w:hAnsi="Century Gothic" w:cs="Arial"/>
          <w:sz w:val="24"/>
          <w:szCs w:val="24"/>
        </w:rPr>
        <w:t>If contact is likely, safety glasses with side shields are recommended.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Skin and Body Protection:</w:t>
      </w:r>
      <w:r w:rsidRPr="00B56294">
        <w:rPr>
          <w:rFonts w:ascii="Century Gothic" w:eastAsia="Times New Roman" w:hAnsi="Century Gothic" w:cs="Arial"/>
          <w:sz w:val="24"/>
          <w:szCs w:val="24"/>
        </w:rPr>
        <w:t xml:space="preserve"> Any specific clothing information provided is based on published literature or manufacturer data. The types of clothing to be considered for this material include: No skin rotation is ordinarily required under normal conditions of use. In accordance with good industrial hygiene practices, precautions should be taken to avoid skin contact.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 xml:space="preserve">Specific Hygiene Measures: </w:t>
      </w:r>
      <w:r w:rsidRPr="00B56294">
        <w:rPr>
          <w:rFonts w:ascii="Century Gothic" w:eastAsia="Times New Roman" w:hAnsi="Century Gothic" w:cs="Arial"/>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Environmental Controls</w:t>
      </w:r>
      <w:r w:rsidRPr="00B56294">
        <w:rPr>
          <w:rFonts w:ascii="Century Gothic" w:eastAsia="Times New Roman" w:hAnsi="Century Gothic" w:cs="Arial"/>
          <w:sz w:val="24"/>
          <w:szCs w:val="24"/>
        </w:rPr>
        <w:br/>
        <w:t>Comply with applicable environmental regulations limiting discharge to air, water and soil. Protect the environment by applying appropriate control measures to prevent or limit emissions. </w:t>
      </w:r>
      <w:r w:rsidRPr="00B56294">
        <w:rPr>
          <w:rFonts w:ascii="Century Gothic" w:eastAsia="Times New Roman" w:hAnsi="Century Gothic" w:cs="Arial"/>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14D84D31"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0601F9C9"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9                                                PHYSICAL AND CHEMICAL PROPERTIES</w:t>
            </w:r>
          </w:p>
        </w:tc>
      </w:tr>
    </w:tbl>
    <w:p w14:paraId="49161AFB" w14:textId="77777777" w:rsidR="00A3693F" w:rsidRPr="00B56294" w:rsidRDefault="00A3693F" w:rsidP="00A3693F">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br/>
        <w:t>Note: Physical and chemical properties are provided for safety, health and environmental considerations only and may not fully represent product specifications. Contact the supplier for additional information.</w:t>
      </w:r>
      <w:r w:rsidRPr="00B56294">
        <w:rPr>
          <w:rFonts w:ascii="Century Gothic" w:eastAsia="Times New Roman" w:hAnsi="Century Gothic" w:cs="Arial"/>
          <w:sz w:val="24"/>
          <w:szCs w:val="24"/>
        </w:rPr>
        <w:t>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GENERAL INFORMATION</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Physical State:</w:t>
      </w:r>
      <w:r w:rsidRPr="00B56294">
        <w:rPr>
          <w:rFonts w:ascii="Century Gothic" w:eastAsia="Times New Roman" w:hAnsi="Century Gothic" w:cs="Arial"/>
          <w:sz w:val="24"/>
          <w:szCs w:val="24"/>
        </w:rPr>
        <w:t xml:space="preserve"> Liquid</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Color:</w:t>
      </w:r>
      <w:r w:rsidRPr="00B56294">
        <w:rPr>
          <w:rFonts w:ascii="Century Gothic" w:eastAsia="Times New Roman" w:hAnsi="Century Gothic" w:cs="Arial"/>
          <w:sz w:val="24"/>
          <w:szCs w:val="24"/>
        </w:rPr>
        <w:t xml:space="preserve"> Brown</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Odor:</w:t>
      </w:r>
      <w:r w:rsidRPr="00B56294">
        <w:rPr>
          <w:rFonts w:ascii="Century Gothic" w:eastAsia="Times New Roman" w:hAnsi="Century Gothic" w:cs="Arial"/>
          <w:sz w:val="24"/>
          <w:szCs w:val="24"/>
        </w:rPr>
        <w:t xml:space="preserve"> Characteristic </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Odor Threshold:</w:t>
      </w:r>
      <w:r w:rsidRPr="00B56294">
        <w:rPr>
          <w:rFonts w:ascii="Century Gothic" w:eastAsia="Times New Roman" w:hAnsi="Century Gothic" w:cs="Arial"/>
          <w:sz w:val="24"/>
          <w:szCs w:val="24"/>
        </w:rPr>
        <w:t xml:space="preserve"> N/D</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IMPORTANT HEALTH, SAFETY, AND ENVIRONMENTAL INFORMATION</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Relative Density (at 15°C):</w:t>
      </w:r>
      <w:r w:rsidRPr="00B56294">
        <w:rPr>
          <w:rFonts w:ascii="Century Gothic" w:eastAsia="Times New Roman" w:hAnsi="Century Gothic" w:cs="Arial"/>
          <w:sz w:val="24"/>
          <w:szCs w:val="24"/>
        </w:rPr>
        <w:t xml:space="preserve"> 0.9</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Flammability (Solid, Gas):</w:t>
      </w:r>
      <w:r w:rsidRPr="00B56294">
        <w:rPr>
          <w:rFonts w:ascii="Century Gothic" w:eastAsia="Times New Roman" w:hAnsi="Century Gothic" w:cs="Arial"/>
          <w:sz w:val="24"/>
          <w:szCs w:val="24"/>
        </w:rPr>
        <w:t xml:space="preserve"> N/A</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Flash Point [Method]:</w:t>
      </w:r>
      <w:r w:rsidRPr="00B56294">
        <w:rPr>
          <w:rFonts w:ascii="Century Gothic" w:eastAsia="Times New Roman" w:hAnsi="Century Gothic" w:cs="Arial"/>
          <w:sz w:val="24"/>
          <w:szCs w:val="24"/>
        </w:rPr>
        <w:t xml:space="preserve"> 216°C (421°F) [ASTM D-92] </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Flammable Limits (Approximate volume % in air):</w:t>
      </w:r>
      <w:r w:rsidRPr="00B56294">
        <w:rPr>
          <w:rFonts w:ascii="Century Gothic" w:eastAsia="Times New Roman" w:hAnsi="Century Gothic" w:cs="Arial"/>
          <w:sz w:val="24"/>
          <w:szCs w:val="24"/>
        </w:rPr>
        <w:t xml:space="preserve"> LEL: 0.9 UEL: 7.0</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 xml:space="preserve">Autoignition Temperature: </w:t>
      </w:r>
      <w:r w:rsidRPr="00B56294">
        <w:rPr>
          <w:rFonts w:ascii="Century Gothic" w:eastAsia="Times New Roman" w:hAnsi="Century Gothic" w:cs="Arial"/>
          <w:sz w:val="24"/>
          <w:szCs w:val="24"/>
        </w:rPr>
        <w:t>N/D</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Boiling Point / Range:</w:t>
      </w:r>
      <w:r w:rsidRPr="00B56294">
        <w:rPr>
          <w:rFonts w:ascii="Century Gothic" w:eastAsia="Times New Roman" w:hAnsi="Century Gothic" w:cs="Arial"/>
          <w:sz w:val="24"/>
          <w:szCs w:val="24"/>
        </w:rPr>
        <w:t xml:space="preserve"> N/D</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Decomposition Temperature</w:t>
      </w:r>
      <w:r w:rsidRPr="00B56294">
        <w:rPr>
          <w:rFonts w:ascii="Century Gothic" w:eastAsia="Times New Roman" w:hAnsi="Century Gothic" w:cs="Arial"/>
          <w:sz w:val="24"/>
          <w:szCs w:val="24"/>
        </w:rPr>
        <w:t>: N/D</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 xml:space="preserve">Vapor Density (Air = 1): </w:t>
      </w:r>
      <w:r w:rsidRPr="00B56294">
        <w:rPr>
          <w:rFonts w:ascii="Century Gothic" w:eastAsia="Times New Roman" w:hAnsi="Century Gothic" w:cs="Arial"/>
          <w:sz w:val="24"/>
          <w:szCs w:val="24"/>
        </w:rPr>
        <w:t>N/D</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lastRenderedPageBreak/>
        <w:t>Vapor Pressure:</w:t>
      </w:r>
      <w:r w:rsidRPr="00B56294">
        <w:rPr>
          <w:rFonts w:ascii="Century Gothic" w:eastAsia="Times New Roman" w:hAnsi="Century Gothic" w:cs="Arial"/>
          <w:sz w:val="24"/>
          <w:szCs w:val="24"/>
        </w:rPr>
        <w:t xml:space="preserve"> [N/D at 20°C]</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Evaporation Rate (n-butyl acetate = 1):</w:t>
      </w:r>
      <w:r w:rsidRPr="00B56294">
        <w:rPr>
          <w:rFonts w:ascii="Century Gothic" w:eastAsia="Times New Roman" w:hAnsi="Century Gothic" w:cs="Arial"/>
          <w:sz w:val="24"/>
          <w:szCs w:val="24"/>
        </w:rPr>
        <w:t xml:space="preserve"> N/D </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pH:</w:t>
      </w:r>
      <w:r w:rsidRPr="00B56294">
        <w:rPr>
          <w:rFonts w:ascii="Century Gothic" w:eastAsia="Times New Roman" w:hAnsi="Century Gothic" w:cs="Arial"/>
          <w:sz w:val="24"/>
          <w:szCs w:val="24"/>
        </w:rPr>
        <w:t xml:space="preserve"> N/A</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Log Pow (n-Octanol/Water Partition Coefficient):</w:t>
      </w:r>
      <w:r w:rsidRPr="00B56294">
        <w:rPr>
          <w:rFonts w:ascii="Century Gothic" w:eastAsia="Times New Roman" w:hAnsi="Century Gothic" w:cs="Arial"/>
          <w:sz w:val="24"/>
          <w:szCs w:val="24"/>
        </w:rPr>
        <w:t xml:space="preserve"> N/D</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Solubility in Water:</w:t>
      </w:r>
      <w:r w:rsidRPr="00B56294">
        <w:rPr>
          <w:rFonts w:ascii="Century Gothic" w:eastAsia="Times New Roman" w:hAnsi="Century Gothic" w:cs="Arial"/>
          <w:sz w:val="24"/>
          <w:szCs w:val="24"/>
        </w:rPr>
        <w:t xml:space="preserve">   Negligible  </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Viscosity:</w:t>
      </w:r>
      <w:r w:rsidRPr="00B56294">
        <w:rPr>
          <w:rFonts w:ascii="Century Gothic" w:eastAsia="Times New Roman" w:hAnsi="Century Gothic" w:cs="Arial"/>
          <w:sz w:val="24"/>
          <w:szCs w:val="24"/>
        </w:rPr>
        <w:t xml:space="preserve"> 87.9 cSt (87.9 mm2/sec) at 40°C | 14.5 cSt (14.5 mm2/sec) at 100°C</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Oxidizing Properties:</w:t>
      </w:r>
      <w:r w:rsidRPr="00B56294">
        <w:rPr>
          <w:rFonts w:ascii="Century Gothic" w:eastAsia="Times New Roman" w:hAnsi="Century Gothic" w:cs="Arial"/>
          <w:sz w:val="24"/>
          <w:szCs w:val="24"/>
        </w:rPr>
        <w:t xml:space="preserve"> See Hazards Identification Section. </w:t>
      </w:r>
      <w:r w:rsidRPr="00B56294">
        <w:rPr>
          <w:rFonts w:ascii="Century Gothic" w:eastAsia="Times New Roman" w:hAnsi="Century Gothic" w:cs="Arial"/>
          <w:sz w:val="24"/>
          <w:szCs w:val="24"/>
        </w:rPr>
        <w:br/>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OTHER INFORMATION</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Freezing Point:</w:t>
      </w:r>
      <w:r w:rsidRPr="00B56294">
        <w:rPr>
          <w:rFonts w:ascii="Century Gothic" w:eastAsia="Times New Roman" w:hAnsi="Century Gothic" w:cs="Arial"/>
          <w:sz w:val="24"/>
          <w:szCs w:val="24"/>
        </w:rPr>
        <w:t xml:space="preserve"> N/D</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 xml:space="preserve">Melting Point: </w:t>
      </w:r>
      <w:r w:rsidRPr="00B56294">
        <w:rPr>
          <w:rFonts w:ascii="Century Gothic" w:eastAsia="Times New Roman" w:hAnsi="Century Gothic" w:cs="Arial"/>
          <w:sz w:val="24"/>
          <w:szCs w:val="24"/>
        </w:rPr>
        <w:t>N/A</w:t>
      </w:r>
      <w:r w:rsidRPr="00B56294">
        <w:rPr>
          <w:rFonts w:ascii="Century Gothic" w:eastAsia="Times New Roman" w:hAnsi="Century Gothic" w:cs="Arial"/>
          <w:sz w:val="24"/>
          <w:szCs w:val="24"/>
        </w:rPr>
        <w:br/>
      </w:r>
      <w:r w:rsidRPr="00B56294">
        <w:rPr>
          <w:rFonts w:ascii="Century Gothic" w:eastAsia="Times New Roman" w:hAnsi="Century Gothic" w:cs="Arial"/>
          <w:b/>
          <w:bCs/>
          <w:sz w:val="24"/>
          <w:szCs w:val="24"/>
        </w:rPr>
        <w:t>Pour Point:</w:t>
      </w:r>
      <w:r w:rsidRPr="00B56294">
        <w:rPr>
          <w:rFonts w:ascii="Century Gothic" w:eastAsia="Times New Roman" w:hAnsi="Century Gothic" w:cs="Arial"/>
          <w:sz w:val="24"/>
          <w:szCs w:val="24"/>
        </w:rPr>
        <w:t xml:space="preserve"> -45°C (-49°F)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1296A87E"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7015E247"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10                                                STABILITY AND REACTIVITY </w:t>
            </w:r>
          </w:p>
        </w:tc>
      </w:tr>
    </w:tbl>
    <w:p w14:paraId="38CAB66D" w14:textId="77777777" w:rsidR="00B81F54" w:rsidRPr="00B56294" w:rsidRDefault="00A3693F" w:rsidP="00B81F5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br/>
      </w:r>
      <w:r w:rsidR="00B81F54" w:rsidRPr="00B56294">
        <w:rPr>
          <w:rFonts w:ascii="Century Gothic" w:eastAsia="Times New Roman" w:hAnsi="Century Gothic" w:cs="Arial"/>
          <w:b/>
          <w:sz w:val="24"/>
          <w:szCs w:val="24"/>
        </w:rPr>
        <w:t>Reactivity:</w:t>
      </w:r>
      <w:r w:rsidR="00B81F54" w:rsidRPr="00B56294">
        <w:rPr>
          <w:rFonts w:ascii="Century Gothic" w:eastAsia="Times New Roman" w:hAnsi="Century Gothic" w:cs="Arial"/>
          <w:sz w:val="24"/>
          <w:szCs w:val="24"/>
        </w:rPr>
        <w:t xml:space="preserve"> No data available.</w:t>
      </w:r>
    </w:p>
    <w:p w14:paraId="53C54678" w14:textId="77777777" w:rsidR="00B81F54" w:rsidRPr="00B56294" w:rsidRDefault="00B81F54" w:rsidP="00B81F5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Chemical Stability:</w:t>
      </w:r>
      <w:r w:rsidRPr="00B56294">
        <w:rPr>
          <w:rFonts w:ascii="Century Gothic" w:eastAsia="Times New Roman" w:hAnsi="Century Gothic" w:cs="Arial"/>
          <w:sz w:val="24"/>
          <w:szCs w:val="24"/>
        </w:rPr>
        <w:t xml:space="preserve"> Material is stable under normal conditions.</w:t>
      </w:r>
    </w:p>
    <w:p w14:paraId="522D3F63" w14:textId="77777777" w:rsidR="00B81F54" w:rsidRPr="00B56294" w:rsidRDefault="00B81F54" w:rsidP="00B81F5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Possibility of Hazardous</w:t>
      </w:r>
    </w:p>
    <w:p w14:paraId="2CE591FB" w14:textId="77777777" w:rsidR="00B81F54" w:rsidRPr="00B56294" w:rsidRDefault="00434EB4" w:rsidP="00B81F5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Reactions:</w:t>
      </w:r>
      <w:r w:rsidRPr="00B56294">
        <w:rPr>
          <w:rFonts w:ascii="Century Gothic" w:eastAsia="Times New Roman" w:hAnsi="Century Gothic" w:cs="Arial"/>
          <w:sz w:val="24"/>
          <w:szCs w:val="24"/>
        </w:rPr>
        <w:t xml:space="preserve"> </w:t>
      </w:r>
      <w:r w:rsidR="00B81F54" w:rsidRPr="00B56294">
        <w:rPr>
          <w:rFonts w:ascii="Century Gothic" w:eastAsia="Times New Roman" w:hAnsi="Century Gothic" w:cs="Arial"/>
          <w:sz w:val="24"/>
          <w:szCs w:val="24"/>
        </w:rPr>
        <w:t>Will not occur.</w:t>
      </w:r>
    </w:p>
    <w:p w14:paraId="7E1E1BED" w14:textId="77777777" w:rsidR="00B81F54" w:rsidRPr="00B56294" w:rsidRDefault="00B81F54" w:rsidP="00B81F5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Conditions to Avoid:</w:t>
      </w:r>
      <w:r w:rsidRPr="00B56294">
        <w:rPr>
          <w:rFonts w:ascii="Century Gothic" w:eastAsia="Times New Roman" w:hAnsi="Century Gothic" w:cs="Arial"/>
          <w:sz w:val="24"/>
          <w:szCs w:val="24"/>
        </w:rPr>
        <w:t xml:space="preserve"> Not determined.</w:t>
      </w:r>
    </w:p>
    <w:p w14:paraId="642259D1" w14:textId="77777777" w:rsidR="00B81F54" w:rsidRPr="00B56294" w:rsidRDefault="00B81F54" w:rsidP="00B81F5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Incompatible Materials:</w:t>
      </w:r>
      <w:r w:rsidRPr="00B56294">
        <w:rPr>
          <w:rFonts w:ascii="Century Gothic" w:eastAsia="Times New Roman" w:hAnsi="Century Gothic" w:cs="Arial"/>
          <w:sz w:val="24"/>
          <w:szCs w:val="24"/>
        </w:rPr>
        <w:t xml:space="preserve"> Strong oxidizing agents. Aluminum. Mild steel. Alkalies. Bases.</w:t>
      </w:r>
    </w:p>
    <w:p w14:paraId="14DC978C" w14:textId="77777777" w:rsidR="00B81F54" w:rsidRPr="00B56294" w:rsidRDefault="00B81F54" w:rsidP="00B81F5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Hazardous Decomposition</w:t>
      </w:r>
    </w:p>
    <w:p w14:paraId="6DAE898F" w14:textId="77777777" w:rsidR="00B81F54" w:rsidRPr="00B56294" w:rsidRDefault="00B81F54" w:rsidP="00B81F5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Products:</w:t>
      </w:r>
      <w:r w:rsidRPr="00B56294">
        <w:rPr>
          <w:rFonts w:ascii="Century Gothic" w:eastAsia="Times New Roman" w:hAnsi="Century Gothic" w:cs="Arial"/>
          <w:sz w:val="24"/>
          <w:szCs w:val="24"/>
        </w:rPr>
        <w:t xml:space="preserve"> Thermal decomposition or combustion may generate smoke, carbon monoxide, carbon dioxide, and other products of incomplete combustion.</w:t>
      </w:r>
    </w:p>
    <w:p w14:paraId="5BE01986" w14:textId="77777777" w:rsidR="00A3693F" w:rsidRPr="00B56294" w:rsidRDefault="00B81F54" w:rsidP="00B81F5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Thermal decompositon may generate phosphorus oxides and other phosphorus containing compounds.</w:t>
      </w:r>
      <w:r w:rsidRPr="00B56294">
        <w:rPr>
          <w:rFonts w:ascii="Century Gothic" w:eastAsia="Times New Roman" w:hAnsi="Century Gothic" w:cs="Arial"/>
          <w:sz w:val="24"/>
          <w:szCs w:val="24"/>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19AAEAC3"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3F401D25"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11                                                   TOXICOLOGICAL INFORMATION</w:t>
            </w:r>
          </w:p>
        </w:tc>
      </w:tr>
    </w:tbl>
    <w:p w14:paraId="4CFCF7E8" w14:textId="77777777" w:rsidR="00434EB4" w:rsidRPr="00B56294" w:rsidRDefault="00A3693F"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br/>
      </w:r>
      <w:r w:rsidR="00434EB4" w:rsidRPr="00B56294">
        <w:rPr>
          <w:rFonts w:ascii="Century Gothic" w:eastAsia="Times New Roman" w:hAnsi="Century Gothic" w:cs="Arial"/>
          <w:sz w:val="24"/>
          <w:szCs w:val="24"/>
        </w:rPr>
        <w:t>Information on likely routes of exposure</w:t>
      </w:r>
    </w:p>
    <w:p w14:paraId="1FBF5A8C"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Inhalation: No data available.</w:t>
      </w:r>
    </w:p>
    <w:p w14:paraId="0B01697B"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Ingestion: No data available.</w:t>
      </w:r>
    </w:p>
    <w:p w14:paraId="50384523"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lastRenderedPageBreak/>
        <w:t>Skin Contact: No data available.</w:t>
      </w:r>
    </w:p>
    <w:p w14:paraId="19C12510"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Eye contact: Causes serious eye damage.</w:t>
      </w:r>
    </w:p>
    <w:p w14:paraId="21B78605"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Information on toxicological effects</w:t>
      </w:r>
    </w:p>
    <w:p w14:paraId="189D31EE"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Acute toxicity</w:t>
      </w:r>
    </w:p>
    <w:p w14:paraId="61912F35"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Oral</w:t>
      </w:r>
    </w:p>
    <w:p w14:paraId="19CCE37E"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Product: LD 50 (Rat): &gt; 5,000 mg/kg (Read across) Not classified</w:t>
      </w:r>
    </w:p>
    <w:p w14:paraId="64400714"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Swallowing material may cause irritation of the gastrointestinal</w:t>
      </w:r>
    </w:p>
    <w:p w14:paraId="075C6DD9"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lining, nausea, vomiting, diarrhea, and abdominal pain.</w:t>
      </w:r>
    </w:p>
    <w:p w14:paraId="7FEEE0AA"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Dermal</w:t>
      </w:r>
    </w:p>
    <w:p w14:paraId="0A2DDADD"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Product: LD 50 (Rabbit): &gt; 2,000 mg/kg (Read across) Not classified</w:t>
      </w:r>
    </w:p>
    <w:p w14:paraId="1C320291"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Inhalation</w:t>
      </w:r>
    </w:p>
    <w:p w14:paraId="45992395"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No data available</w:t>
      </w:r>
    </w:p>
    <w:p w14:paraId="1EF6D9BB"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Skin Corrosion/Irritation:</w:t>
      </w:r>
    </w:p>
    <w:p w14:paraId="7F0BA329"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Product:</w:t>
      </w:r>
      <w:r w:rsidRPr="00B56294">
        <w:rPr>
          <w:rFonts w:ascii="Century Gothic" w:eastAsia="Times New Roman" w:hAnsi="Century Gothic" w:cs="Arial"/>
          <w:sz w:val="24"/>
          <w:szCs w:val="24"/>
        </w:rPr>
        <w:t xml:space="preserve"> Classification: Not irritating (Read across); Rabbit. Not expected to be a primary skin irritant.</w:t>
      </w:r>
    </w:p>
    <w:p w14:paraId="7C7F5FFD"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Remarks:</w:t>
      </w:r>
      <w:r w:rsidRPr="00B56294">
        <w:rPr>
          <w:rFonts w:ascii="Century Gothic" w:eastAsia="Times New Roman" w:hAnsi="Century Gothic" w:cs="Arial"/>
          <w:sz w:val="24"/>
          <w:szCs w:val="24"/>
        </w:rPr>
        <w:t xml:space="preserve"> Not classified as a primary skin irritant.</w:t>
      </w:r>
    </w:p>
    <w:p w14:paraId="3D92761B"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Serious Eye Damage/Eye Irritation:</w:t>
      </w:r>
    </w:p>
    <w:p w14:paraId="36C9B3C4"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Product: Classification:</w:t>
      </w:r>
      <w:r w:rsidRPr="00B56294">
        <w:rPr>
          <w:rFonts w:ascii="Century Gothic" w:eastAsia="Times New Roman" w:hAnsi="Century Gothic" w:cs="Arial"/>
          <w:sz w:val="24"/>
          <w:szCs w:val="24"/>
        </w:rPr>
        <w:t xml:space="preserve"> Risk of serious damage to eyes. (Read across); Rabbit.</w:t>
      </w:r>
    </w:p>
    <w:p w14:paraId="73022464"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Remarks:</w:t>
      </w:r>
      <w:r w:rsidRPr="00B56294">
        <w:rPr>
          <w:rFonts w:ascii="Century Gothic" w:eastAsia="Times New Roman" w:hAnsi="Century Gothic" w:cs="Arial"/>
          <w:sz w:val="24"/>
          <w:szCs w:val="24"/>
        </w:rPr>
        <w:t xml:space="preserve"> Causes serious eye damage.</w:t>
      </w:r>
    </w:p>
    <w:p w14:paraId="343B0764"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Respiratory sensitization:</w:t>
      </w:r>
    </w:p>
    <w:p w14:paraId="579752EE"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No data available</w:t>
      </w:r>
    </w:p>
    <w:p w14:paraId="635558DD"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Skin sensitization:</w:t>
      </w:r>
    </w:p>
    <w:p w14:paraId="5C3EFF68"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t>Product:</w:t>
      </w:r>
      <w:r w:rsidRPr="00B56294">
        <w:rPr>
          <w:rFonts w:ascii="Century Gothic" w:eastAsia="Times New Roman" w:hAnsi="Century Gothic" w:cs="Arial"/>
          <w:sz w:val="24"/>
          <w:szCs w:val="24"/>
        </w:rPr>
        <w:t xml:space="preserve"> </w:t>
      </w:r>
      <w:r w:rsidRPr="00B56294">
        <w:rPr>
          <w:rFonts w:ascii="Century Gothic" w:eastAsia="Times New Roman" w:hAnsi="Century Gothic" w:cs="Arial"/>
          <w:b/>
          <w:sz w:val="24"/>
          <w:szCs w:val="24"/>
        </w:rPr>
        <w:t>Classification:</w:t>
      </w:r>
      <w:r w:rsidRPr="00B56294">
        <w:rPr>
          <w:rFonts w:ascii="Century Gothic" w:eastAsia="Times New Roman" w:hAnsi="Century Gothic" w:cs="Arial"/>
          <w:sz w:val="24"/>
          <w:szCs w:val="24"/>
        </w:rPr>
        <w:t xml:space="preserve"> Not a skin sensitizer. (Read across) Not a skin sensitizer.</w:t>
      </w:r>
    </w:p>
    <w:p w14:paraId="77D932E9"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Specific Target Organ Toxicity - Single Exposure:</w:t>
      </w:r>
    </w:p>
    <w:p w14:paraId="628317B1"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sz w:val="24"/>
          <w:szCs w:val="24"/>
        </w:rPr>
        <w:lastRenderedPageBreak/>
        <w:t>Product:</w:t>
      </w:r>
      <w:r w:rsidRPr="00B56294">
        <w:rPr>
          <w:rFonts w:ascii="Century Gothic" w:eastAsia="Times New Roman" w:hAnsi="Century Gothic" w:cs="Arial"/>
          <w:sz w:val="24"/>
          <w:szCs w:val="24"/>
        </w:rPr>
        <w:t xml:space="preserve"> May cause irritation to the mucous membranes and upper respiratory tract.</w:t>
      </w:r>
    </w:p>
    <w:p w14:paraId="5A30D5AA"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Polyether phosphate May cause irritation to the mucous membranes and upper respiratory tract.</w:t>
      </w:r>
    </w:p>
    <w:p w14:paraId="1E81B7F9"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Aspiration Hazard:</w:t>
      </w:r>
    </w:p>
    <w:p w14:paraId="717B7D6E"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2987EB16"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Chronic Effects</w:t>
      </w:r>
    </w:p>
    <w:p w14:paraId="5E5263DC"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Carcinogenicity:</w:t>
      </w:r>
    </w:p>
    <w:p w14:paraId="19CDE9F5"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0B951939"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IARC Monographs on the Evaluation of Carcinogenic Risks to Humans:</w:t>
      </w:r>
    </w:p>
    <w:p w14:paraId="71F5628A"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carcinogenic components identified US. National Toxicology Program (NTP) Report on Carcinogens:</w:t>
      </w:r>
    </w:p>
    <w:p w14:paraId="6DD2493B"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carcinogenic components identified</w:t>
      </w:r>
    </w:p>
    <w:p w14:paraId="37505B70"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US. OSHA Specifically Regulated Substances (29 CFR 1910.1001-1050):</w:t>
      </w:r>
    </w:p>
    <w:p w14:paraId="20D0AD08"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carcinogenic components identified</w:t>
      </w:r>
    </w:p>
    <w:p w14:paraId="008AE17B"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Germ Cell Mutagenicity:</w:t>
      </w:r>
    </w:p>
    <w:p w14:paraId="6AF8C96E"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65545F12" w14:textId="77777777" w:rsidR="00434EB4" w:rsidRPr="00B56294" w:rsidRDefault="00434EB4" w:rsidP="00434EB4">
      <w:pPr>
        <w:spacing w:after="240" w:line="240" w:lineRule="auto"/>
        <w:rPr>
          <w:rFonts w:ascii="Century Gothic" w:eastAsia="Times New Roman" w:hAnsi="Century Gothic" w:cs="Arial"/>
          <w:b/>
          <w:sz w:val="24"/>
          <w:szCs w:val="24"/>
        </w:rPr>
      </w:pPr>
      <w:r w:rsidRPr="00B56294">
        <w:rPr>
          <w:rFonts w:ascii="Century Gothic" w:eastAsia="Times New Roman" w:hAnsi="Century Gothic" w:cs="Arial"/>
          <w:b/>
          <w:sz w:val="24"/>
          <w:szCs w:val="24"/>
        </w:rPr>
        <w:t>Reproductive toxicity:</w:t>
      </w:r>
    </w:p>
    <w:p w14:paraId="70D0204F"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7B7470AE" w14:textId="77777777" w:rsidR="00A3693F" w:rsidRPr="00B56294" w:rsidRDefault="00434EB4" w:rsidP="00A3693F">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Specific Target Organ Toxicity - Repeated Exposure:  No data available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38931E65"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3D13B853"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12                                                ECOLOGICAL INFORMATION </w:t>
            </w:r>
          </w:p>
        </w:tc>
      </w:tr>
    </w:tbl>
    <w:p w14:paraId="7F01E526" w14:textId="77777777" w:rsidR="00434EB4" w:rsidRPr="00B56294" w:rsidRDefault="00A3693F"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br/>
      </w:r>
      <w:r w:rsidR="00434EB4" w:rsidRPr="00B56294">
        <w:rPr>
          <w:rFonts w:ascii="Century Gothic" w:eastAsia="Times New Roman" w:hAnsi="Century Gothic" w:cs="Arial"/>
          <w:sz w:val="24"/>
          <w:szCs w:val="24"/>
        </w:rPr>
        <w:t>Ecotoxicity</w:t>
      </w:r>
    </w:p>
    <w:p w14:paraId="06C0E88E"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Fish</w:t>
      </w:r>
    </w:p>
    <w:p w14:paraId="31A64BE8"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Product: LC 50 (Bluegill Sunfish, 4 d): 160 mg/l</w:t>
      </w:r>
    </w:p>
    <w:p w14:paraId="53BABF39" w14:textId="77777777" w:rsidR="00434EB4" w:rsidRPr="00B56294" w:rsidRDefault="00434EB4" w:rsidP="00434EB4">
      <w:pPr>
        <w:spacing w:after="0" w:line="240" w:lineRule="auto"/>
        <w:rPr>
          <w:rFonts w:ascii="Century Gothic" w:eastAsia="Times New Roman" w:hAnsi="Century Gothic" w:cs="Arial"/>
          <w:sz w:val="24"/>
          <w:szCs w:val="24"/>
        </w:rPr>
      </w:pPr>
    </w:p>
    <w:p w14:paraId="3E46D389"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Aquatic Invertebrates</w:t>
      </w:r>
    </w:p>
    <w:p w14:paraId="3E2E02D7" w14:textId="77777777" w:rsidR="00434EB4" w:rsidRPr="00B56294" w:rsidRDefault="00434EB4" w:rsidP="00434EB4">
      <w:pPr>
        <w:spacing w:after="0" w:line="240" w:lineRule="auto"/>
        <w:rPr>
          <w:rFonts w:ascii="Century Gothic" w:eastAsia="Times New Roman" w:hAnsi="Century Gothic" w:cs="Arial"/>
          <w:sz w:val="24"/>
          <w:szCs w:val="24"/>
        </w:rPr>
      </w:pPr>
    </w:p>
    <w:p w14:paraId="062FC44E"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Product: EC 50 (Water flea (Daphnia magna), 2 d): 216 mg/l</w:t>
      </w:r>
    </w:p>
    <w:p w14:paraId="718AA1C6" w14:textId="77777777" w:rsidR="00434EB4" w:rsidRPr="00B56294" w:rsidRDefault="00434EB4" w:rsidP="00434EB4">
      <w:pPr>
        <w:spacing w:after="0" w:line="240" w:lineRule="auto"/>
        <w:rPr>
          <w:rFonts w:ascii="Century Gothic" w:eastAsia="Times New Roman" w:hAnsi="Century Gothic" w:cs="Arial"/>
          <w:sz w:val="24"/>
          <w:szCs w:val="24"/>
        </w:rPr>
      </w:pPr>
    </w:p>
    <w:p w14:paraId="6E6D2708"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Toxicity to Aquatic Plants</w:t>
      </w:r>
    </w:p>
    <w:p w14:paraId="6C7F52B8" w14:textId="77777777" w:rsidR="00434EB4" w:rsidRPr="00B56294" w:rsidRDefault="00434EB4" w:rsidP="00434EB4">
      <w:pPr>
        <w:spacing w:after="0" w:line="240" w:lineRule="auto"/>
        <w:rPr>
          <w:rFonts w:ascii="Century Gothic" w:eastAsia="Times New Roman" w:hAnsi="Century Gothic" w:cs="Arial"/>
          <w:sz w:val="24"/>
          <w:szCs w:val="24"/>
        </w:rPr>
      </w:pPr>
    </w:p>
    <w:p w14:paraId="6B953D93"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Product: EC 50 (Green algae (Selenastrum capricornutum), 4 d): 97 mg/l</w:t>
      </w:r>
    </w:p>
    <w:p w14:paraId="57681D6C" w14:textId="77777777" w:rsidR="00434EB4" w:rsidRPr="00B56294" w:rsidRDefault="00434EB4" w:rsidP="00434EB4">
      <w:pPr>
        <w:spacing w:after="0" w:line="240" w:lineRule="auto"/>
        <w:rPr>
          <w:rFonts w:ascii="Century Gothic" w:eastAsia="Times New Roman" w:hAnsi="Century Gothic" w:cs="Arial"/>
          <w:sz w:val="24"/>
          <w:szCs w:val="24"/>
        </w:rPr>
      </w:pPr>
    </w:p>
    <w:p w14:paraId="503D9D2A"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Toxicity to soil dwelling organisms</w:t>
      </w:r>
    </w:p>
    <w:p w14:paraId="66C3216F" w14:textId="77777777" w:rsidR="00434EB4" w:rsidRPr="00B56294" w:rsidRDefault="00434EB4" w:rsidP="00434EB4">
      <w:pPr>
        <w:spacing w:after="0" w:line="240" w:lineRule="auto"/>
        <w:rPr>
          <w:rFonts w:ascii="Century Gothic" w:eastAsia="Times New Roman" w:hAnsi="Century Gothic" w:cs="Arial"/>
          <w:sz w:val="24"/>
          <w:szCs w:val="24"/>
        </w:rPr>
      </w:pPr>
    </w:p>
    <w:p w14:paraId="66E67C9C"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33474BFB" w14:textId="77777777" w:rsidR="00434EB4" w:rsidRPr="00B56294" w:rsidRDefault="00434EB4" w:rsidP="00434EB4">
      <w:pPr>
        <w:spacing w:after="0" w:line="240" w:lineRule="auto"/>
        <w:rPr>
          <w:rFonts w:ascii="Century Gothic" w:eastAsia="Times New Roman" w:hAnsi="Century Gothic" w:cs="Arial"/>
          <w:sz w:val="24"/>
          <w:szCs w:val="24"/>
        </w:rPr>
      </w:pPr>
    </w:p>
    <w:p w14:paraId="513AB7D2"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Sediment Toxicity</w:t>
      </w:r>
    </w:p>
    <w:p w14:paraId="54AAD2BF" w14:textId="77777777" w:rsidR="00434EB4" w:rsidRPr="00B56294" w:rsidRDefault="00434EB4" w:rsidP="00434EB4">
      <w:pPr>
        <w:spacing w:after="0" w:line="240" w:lineRule="auto"/>
        <w:rPr>
          <w:rFonts w:ascii="Century Gothic" w:eastAsia="Times New Roman" w:hAnsi="Century Gothic" w:cs="Arial"/>
          <w:sz w:val="24"/>
          <w:szCs w:val="24"/>
        </w:rPr>
      </w:pPr>
    </w:p>
    <w:p w14:paraId="3863D2F6"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68A0FE95" w14:textId="77777777" w:rsidR="00434EB4" w:rsidRPr="00B56294" w:rsidRDefault="00434EB4" w:rsidP="00434EB4">
      <w:pPr>
        <w:spacing w:after="0" w:line="240" w:lineRule="auto"/>
        <w:rPr>
          <w:rFonts w:ascii="Century Gothic" w:eastAsia="Times New Roman" w:hAnsi="Century Gothic" w:cs="Arial"/>
          <w:sz w:val="24"/>
          <w:szCs w:val="24"/>
        </w:rPr>
      </w:pPr>
    </w:p>
    <w:p w14:paraId="03538475"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Toxicity to Terrestrial Plants</w:t>
      </w:r>
    </w:p>
    <w:p w14:paraId="360D2651" w14:textId="77777777" w:rsidR="00434EB4" w:rsidRPr="00B56294" w:rsidRDefault="00434EB4" w:rsidP="00434EB4">
      <w:pPr>
        <w:spacing w:after="0" w:line="240" w:lineRule="auto"/>
        <w:rPr>
          <w:rFonts w:ascii="Century Gothic" w:eastAsia="Times New Roman" w:hAnsi="Century Gothic" w:cs="Arial"/>
          <w:sz w:val="24"/>
          <w:szCs w:val="24"/>
        </w:rPr>
      </w:pPr>
    </w:p>
    <w:p w14:paraId="3183B28B"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2465430F" w14:textId="77777777" w:rsidR="00434EB4" w:rsidRPr="00B56294" w:rsidRDefault="00434EB4" w:rsidP="00434EB4">
      <w:pPr>
        <w:spacing w:after="0" w:line="240" w:lineRule="auto"/>
        <w:rPr>
          <w:rFonts w:ascii="Century Gothic" w:eastAsia="Times New Roman" w:hAnsi="Century Gothic" w:cs="Arial"/>
          <w:sz w:val="24"/>
          <w:szCs w:val="24"/>
        </w:rPr>
      </w:pPr>
    </w:p>
    <w:p w14:paraId="5BCA51A4"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Toxicity to Above-Ground Organisms</w:t>
      </w:r>
    </w:p>
    <w:p w14:paraId="7BAAED72" w14:textId="77777777" w:rsidR="00434EB4" w:rsidRPr="00B56294" w:rsidRDefault="00434EB4" w:rsidP="00434EB4">
      <w:pPr>
        <w:spacing w:after="0" w:line="240" w:lineRule="auto"/>
        <w:rPr>
          <w:rFonts w:ascii="Century Gothic" w:eastAsia="Times New Roman" w:hAnsi="Century Gothic" w:cs="Arial"/>
          <w:sz w:val="24"/>
          <w:szCs w:val="24"/>
        </w:rPr>
      </w:pPr>
    </w:p>
    <w:p w14:paraId="67642BB1" w14:textId="77777777" w:rsidR="00A3693F"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08ED1A1E" w14:textId="77777777" w:rsidR="00434EB4" w:rsidRPr="00B56294" w:rsidRDefault="00434EB4" w:rsidP="00434EB4">
      <w:pPr>
        <w:spacing w:after="0" w:line="240" w:lineRule="auto"/>
        <w:rPr>
          <w:rFonts w:ascii="Century Gothic" w:eastAsia="Times New Roman" w:hAnsi="Century Gothic" w:cs="Arial"/>
          <w:sz w:val="24"/>
          <w:szCs w:val="24"/>
        </w:rPr>
      </w:pPr>
    </w:p>
    <w:p w14:paraId="0B0FAB32"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Toxicity to microorganisms</w:t>
      </w:r>
    </w:p>
    <w:p w14:paraId="73275CC6" w14:textId="77777777" w:rsidR="00434EB4" w:rsidRPr="00B56294" w:rsidRDefault="00434EB4" w:rsidP="00434EB4">
      <w:pPr>
        <w:spacing w:after="0" w:line="240" w:lineRule="auto"/>
        <w:rPr>
          <w:rFonts w:ascii="Century Gothic" w:eastAsia="Times New Roman" w:hAnsi="Century Gothic" w:cs="Arial"/>
          <w:sz w:val="24"/>
          <w:szCs w:val="24"/>
        </w:rPr>
      </w:pPr>
    </w:p>
    <w:p w14:paraId="481F204D"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6D26F3ED" w14:textId="77777777" w:rsidR="00434EB4" w:rsidRPr="00B56294" w:rsidRDefault="00434EB4" w:rsidP="00434EB4">
      <w:pPr>
        <w:spacing w:after="0" w:line="240" w:lineRule="auto"/>
        <w:rPr>
          <w:rFonts w:ascii="Century Gothic" w:eastAsia="Times New Roman" w:hAnsi="Century Gothic" w:cs="Arial"/>
          <w:sz w:val="24"/>
          <w:szCs w:val="24"/>
        </w:rPr>
      </w:pPr>
    </w:p>
    <w:p w14:paraId="0A68AFA8"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Persistence and Degradability</w:t>
      </w:r>
    </w:p>
    <w:p w14:paraId="6D276A83" w14:textId="77777777" w:rsidR="00434EB4" w:rsidRPr="00B56294" w:rsidRDefault="00434EB4" w:rsidP="00434EB4">
      <w:pPr>
        <w:spacing w:after="0" w:line="240" w:lineRule="auto"/>
        <w:rPr>
          <w:rFonts w:ascii="Century Gothic" w:eastAsia="Times New Roman" w:hAnsi="Century Gothic" w:cs="Arial"/>
          <w:sz w:val="24"/>
          <w:szCs w:val="24"/>
        </w:rPr>
      </w:pPr>
    </w:p>
    <w:p w14:paraId="1C2E236C"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Biodegradation</w:t>
      </w:r>
    </w:p>
    <w:p w14:paraId="31119537" w14:textId="77777777" w:rsidR="00434EB4" w:rsidRPr="00B56294" w:rsidRDefault="00434EB4" w:rsidP="00434EB4">
      <w:pPr>
        <w:spacing w:after="0" w:line="240" w:lineRule="auto"/>
        <w:rPr>
          <w:rFonts w:ascii="Century Gothic" w:eastAsia="Times New Roman" w:hAnsi="Century Gothic" w:cs="Arial"/>
          <w:sz w:val="24"/>
          <w:szCs w:val="24"/>
        </w:rPr>
      </w:pPr>
    </w:p>
    <w:p w14:paraId="0A96348D"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Product: Miscellaneous, 22.5 %, 28 d</w:t>
      </w:r>
    </w:p>
    <w:p w14:paraId="3F6AC955" w14:textId="77777777" w:rsidR="00434EB4" w:rsidRPr="00B56294" w:rsidRDefault="00434EB4" w:rsidP="00434EB4">
      <w:pPr>
        <w:spacing w:after="0" w:line="240" w:lineRule="auto"/>
        <w:rPr>
          <w:rFonts w:ascii="Century Gothic" w:eastAsia="Times New Roman" w:hAnsi="Century Gothic" w:cs="Arial"/>
          <w:sz w:val="24"/>
          <w:szCs w:val="24"/>
        </w:rPr>
      </w:pPr>
    </w:p>
    <w:p w14:paraId="7EBA9FFC"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Bioaccumulative Potential</w:t>
      </w:r>
    </w:p>
    <w:p w14:paraId="58988C25" w14:textId="77777777" w:rsidR="00434EB4" w:rsidRPr="00B56294" w:rsidRDefault="00434EB4" w:rsidP="00434EB4">
      <w:pPr>
        <w:spacing w:after="0" w:line="240" w:lineRule="auto"/>
        <w:rPr>
          <w:rFonts w:ascii="Century Gothic" w:eastAsia="Times New Roman" w:hAnsi="Century Gothic" w:cs="Arial"/>
          <w:sz w:val="24"/>
          <w:szCs w:val="24"/>
        </w:rPr>
      </w:pPr>
    </w:p>
    <w:p w14:paraId="6F453C2F"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Bioconcentration Factor (BCF)</w:t>
      </w:r>
    </w:p>
    <w:p w14:paraId="4E22C19F" w14:textId="77777777" w:rsidR="00434EB4" w:rsidRPr="00B56294" w:rsidRDefault="00434EB4" w:rsidP="00434EB4">
      <w:pPr>
        <w:spacing w:after="0" w:line="240" w:lineRule="auto"/>
        <w:rPr>
          <w:rFonts w:ascii="Century Gothic" w:eastAsia="Times New Roman" w:hAnsi="Century Gothic" w:cs="Arial"/>
          <w:sz w:val="24"/>
          <w:szCs w:val="24"/>
        </w:rPr>
      </w:pPr>
    </w:p>
    <w:p w14:paraId="266AD5FE"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6BA033F5" w14:textId="77777777" w:rsidR="00434EB4" w:rsidRPr="00B56294" w:rsidRDefault="00434EB4" w:rsidP="00434EB4">
      <w:pPr>
        <w:spacing w:after="0" w:line="240" w:lineRule="auto"/>
        <w:rPr>
          <w:rFonts w:ascii="Century Gothic" w:eastAsia="Times New Roman" w:hAnsi="Century Gothic" w:cs="Arial"/>
          <w:sz w:val="24"/>
          <w:szCs w:val="24"/>
        </w:rPr>
      </w:pPr>
    </w:p>
    <w:p w14:paraId="7BF6312A"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Partition Coefficient n-octanol / water (log Kow)</w:t>
      </w:r>
    </w:p>
    <w:p w14:paraId="2EC91F81" w14:textId="77777777" w:rsidR="00434EB4" w:rsidRPr="00B56294" w:rsidRDefault="00434EB4" w:rsidP="00434EB4">
      <w:pPr>
        <w:spacing w:after="0" w:line="240" w:lineRule="auto"/>
        <w:rPr>
          <w:rFonts w:ascii="Century Gothic" w:eastAsia="Times New Roman" w:hAnsi="Century Gothic" w:cs="Arial"/>
          <w:sz w:val="24"/>
          <w:szCs w:val="24"/>
        </w:rPr>
      </w:pPr>
    </w:p>
    <w:p w14:paraId="74CA6C74"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14AFA11E" w14:textId="77777777" w:rsidR="00434EB4" w:rsidRPr="00B56294" w:rsidRDefault="00434EB4" w:rsidP="00434EB4">
      <w:pPr>
        <w:spacing w:after="0" w:line="240" w:lineRule="auto"/>
        <w:rPr>
          <w:rFonts w:ascii="Century Gothic" w:eastAsia="Times New Roman" w:hAnsi="Century Gothic" w:cs="Arial"/>
          <w:sz w:val="24"/>
          <w:szCs w:val="24"/>
        </w:rPr>
      </w:pPr>
    </w:p>
    <w:p w14:paraId="30C4C2DB"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Mobility:</w:t>
      </w:r>
    </w:p>
    <w:p w14:paraId="077425ED" w14:textId="77777777" w:rsidR="00434EB4" w:rsidRPr="00B56294" w:rsidRDefault="00434EB4" w:rsidP="00434EB4">
      <w:pPr>
        <w:spacing w:after="0" w:line="240" w:lineRule="auto"/>
        <w:rPr>
          <w:rFonts w:ascii="Century Gothic" w:eastAsia="Times New Roman" w:hAnsi="Century Gothic" w:cs="Arial"/>
          <w:sz w:val="24"/>
          <w:szCs w:val="24"/>
        </w:rPr>
      </w:pPr>
    </w:p>
    <w:p w14:paraId="0DDFAAD3"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data available</w:t>
      </w:r>
    </w:p>
    <w:p w14:paraId="58A91D31" w14:textId="77777777" w:rsidR="00434EB4" w:rsidRPr="00B56294" w:rsidRDefault="00434EB4" w:rsidP="00434EB4">
      <w:pPr>
        <w:spacing w:after="0" w:line="240" w:lineRule="auto"/>
        <w:rPr>
          <w:rFonts w:ascii="Century Gothic" w:eastAsia="Times New Roman" w:hAnsi="Century Gothic" w:cs="Arial"/>
          <w:sz w:val="24"/>
          <w:szCs w:val="24"/>
        </w:rPr>
      </w:pPr>
    </w:p>
    <w:p w14:paraId="6AD1D802"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Other Adverse Effects: No data available.</w:t>
      </w:r>
      <w:r w:rsidRPr="00B56294">
        <w:rPr>
          <w:rFonts w:ascii="Century Gothic" w:eastAsia="Times New Roman" w:hAnsi="Century Gothic" w:cs="Arial"/>
          <w:sz w:val="24"/>
          <w:szCs w:val="24"/>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5B7950EE" w14:textId="77777777" w:rsidTr="00A3693F">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0F58C48F"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13                                                 DISPOSAL CONSIDERATIONS</w:t>
            </w:r>
          </w:p>
        </w:tc>
      </w:tr>
    </w:tbl>
    <w:p w14:paraId="58229007" w14:textId="77777777" w:rsidR="00434EB4" w:rsidRPr="00B56294" w:rsidRDefault="00A3693F"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br/>
      </w:r>
      <w:r w:rsidR="00434EB4" w:rsidRPr="00B56294">
        <w:rPr>
          <w:rFonts w:ascii="Century Gothic" w:eastAsia="Times New Roman" w:hAnsi="Century Gothic" w:cs="Arial"/>
          <w:sz w:val="24"/>
          <w:szCs w:val="24"/>
        </w:rPr>
        <w:t>Disposal instructions: Treatment, storage, transportation, and disposal must be in accordance with applicable Federal, State/Provincial, and Local regulations.</w:t>
      </w:r>
    </w:p>
    <w:p w14:paraId="40FC4704"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Dispose of packaging or containers in accordance with local, regional, national and international regulations. Empty container contains product residue which may exhibit hazards of product.</w:t>
      </w:r>
    </w:p>
    <w:p w14:paraId="293D4291" w14:textId="77777777" w:rsidR="00A3693F"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Contaminated Packaging: Container packaging may exhibit hazards.</w:t>
      </w:r>
      <w:r w:rsidRPr="00B56294">
        <w:rPr>
          <w:rFonts w:ascii="Century Gothic" w:eastAsia="Times New Roman" w:hAnsi="Century Gothic" w:cs="Arial"/>
          <w:sz w:val="24"/>
          <w:szCs w:val="24"/>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6C8A6887"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2E2F6D8C"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14                                                TRANSPORT INFORMATION </w:t>
            </w:r>
          </w:p>
        </w:tc>
      </w:tr>
    </w:tbl>
    <w:p w14:paraId="14D8E6A0" w14:textId="77777777" w:rsidR="00434EB4" w:rsidRPr="00B56294" w:rsidRDefault="00A3693F"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br/>
      </w:r>
      <w:r w:rsidR="00434EB4" w:rsidRPr="00B56294">
        <w:rPr>
          <w:rFonts w:ascii="Century Gothic" w:eastAsia="Times New Roman" w:hAnsi="Century Gothic" w:cs="Arial"/>
          <w:sz w:val="24"/>
          <w:szCs w:val="24"/>
        </w:rPr>
        <w:t>DOT</w:t>
      </w:r>
    </w:p>
    <w:p w14:paraId="60144B09"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UN Number: UN 3265</w:t>
      </w:r>
    </w:p>
    <w:p w14:paraId="058F79FB"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UN Proper Shipping Name: Corrosive liquid, acidic, organic, n.o.s.(Phosphoric acid, Polyether</w:t>
      </w:r>
    </w:p>
    <w:p w14:paraId="6C474043"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phosphate)</w:t>
      </w:r>
    </w:p>
    <w:p w14:paraId="04793F62"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Transport Hazard Class(es)</w:t>
      </w:r>
    </w:p>
    <w:p w14:paraId="3A813B97"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Class: 8</w:t>
      </w:r>
    </w:p>
    <w:p w14:paraId="0AD7D10C"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Label(s): 8</w:t>
      </w:r>
    </w:p>
    <w:p w14:paraId="147B6DE3"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Packing Group: III</w:t>
      </w:r>
    </w:p>
    <w:p w14:paraId="5E335D9A"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Marine Pollutant: No</w:t>
      </w:r>
    </w:p>
    <w:p w14:paraId="739AC95D"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Special precautions for user: None established</w:t>
      </w:r>
    </w:p>
    <w:p w14:paraId="142BEE9F"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IMDG</w:t>
      </w:r>
    </w:p>
    <w:p w14:paraId="746E0AB9"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UN Number: UN 3265</w:t>
      </w:r>
    </w:p>
    <w:p w14:paraId="3C9E478E"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lastRenderedPageBreak/>
        <w:t>UN Proper Shipping Name: CORROSIVE LIQUID, ACIDIC, ORGANIC, N.O.S.(Phosphoric</w:t>
      </w:r>
    </w:p>
    <w:p w14:paraId="1F2BDF3D"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acid, Polyether phosphate)</w:t>
      </w:r>
    </w:p>
    <w:p w14:paraId="711FFA07"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Transport Hazard Class(es)</w:t>
      </w:r>
    </w:p>
    <w:p w14:paraId="72C7DAB2"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Class: 8</w:t>
      </w:r>
    </w:p>
    <w:p w14:paraId="781DDE1D"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Label(s): 8</w:t>
      </w:r>
    </w:p>
    <w:p w14:paraId="2CDEFDB1"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EmS No.: F-A, S-B</w:t>
      </w:r>
    </w:p>
    <w:p w14:paraId="01B72C39"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Packing Group: III</w:t>
      </w:r>
    </w:p>
    <w:p w14:paraId="6B282DAB"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Marine Pollutant: No</w:t>
      </w:r>
    </w:p>
    <w:p w14:paraId="7F6CE458"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Limited quantity 5.00L</w:t>
      </w:r>
    </w:p>
    <w:p w14:paraId="0F80F20B"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Excepted quantity E1</w:t>
      </w:r>
    </w:p>
    <w:p w14:paraId="60D23D07" w14:textId="77777777" w:rsidR="00A3693F"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Special precautions for user: None established</w:t>
      </w:r>
    </w:p>
    <w:p w14:paraId="7C7C15BF"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IATA</w:t>
      </w:r>
    </w:p>
    <w:p w14:paraId="3F5B4948"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UN Number: UN 3265</w:t>
      </w:r>
    </w:p>
    <w:p w14:paraId="2C17239A"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Proper Shipping Name: Corrosive liquid, acidic, organic, n.o.s.(Phosphoric acid, Polyether</w:t>
      </w:r>
    </w:p>
    <w:p w14:paraId="0EBD99A0"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phosphate)</w:t>
      </w:r>
    </w:p>
    <w:p w14:paraId="1ABB37F7"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Transport Hazard Class(es):</w:t>
      </w:r>
    </w:p>
    <w:p w14:paraId="1B5EB1FC"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Class: 8</w:t>
      </w:r>
    </w:p>
    <w:p w14:paraId="1ADECD51"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Label(s): 8</w:t>
      </w:r>
    </w:p>
    <w:p w14:paraId="70775BD0"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Marine Pollutant: No</w:t>
      </w:r>
    </w:p>
    <w:p w14:paraId="2E0A2E07"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Packing Group: III</w:t>
      </w:r>
    </w:p>
    <w:p w14:paraId="579498EF"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Limited quantity 1.00L</w:t>
      </w:r>
    </w:p>
    <w:p w14:paraId="7ABBF338"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Excepted quantity E1</w:t>
      </w:r>
    </w:p>
    <w:p w14:paraId="176EA8DA"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lastRenderedPageBreak/>
        <w:t>Environmental Hazards Not regulated.</w:t>
      </w:r>
    </w:p>
    <w:p w14:paraId="0B507044"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Special precautions for user: None established</w:t>
      </w:r>
    </w:p>
    <w:p w14:paraId="27EF959B"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Other information</w:t>
      </w:r>
    </w:p>
    <w:p w14:paraId="2D4B17ED"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Passenger and cargo aircraft: Allowed.</w:t>
      </w:r>
    </w:p>
    <w:p w14:paraId="34E1B6EA"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Cargo aircraft only: Allowed.</w:t>
      </w:r>
    </w:p>
    <w:p w14:paraId="5233045A"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Transport in bulk according to Annex II of MARPOL73/78 and the IBC Code</w:t>
      </w:r>
    </w:p>
    <w:p w14:paraId="0A3AC644" w14:textId="77777777" w:rsidR="00434EB4" w:rsidRPr="00B56294" w:rsidRDefault="00434EB4" w:rsidP="00434EB4">
      <w:pPr>
        <w:spacing w:after="24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None known.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010E23AD"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0BD4E2D1"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15                                                    REGULATORY INFORMATION</w:t>
            </w:r>
          </w:p>
        </w:tc>
      </w:tr>
    </w:tbl>
    <w:p w14:paraId="167B5CB9" w14:textId="77777777" w:rsidR="00434EB4" w:rsidRPr="00B56294" w:rsidRDefault="00A3693F"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br/>
      </w:r>
      <w:r w:rsidR="00434EB4" w:rsidRPr="00B56294">
        <w:rPr>
          <w:rFonts w:ascii="Century Gothic" w:eastAsia="Times New Roman" w:hAnsi="Century Gothic" w:cs="Arial"/>
          <w:sz w:val="24"/>
          <w:szCs w:val="24"/>
        </w:rPr>
        <w:t>US Federal Regulations</w:t>
      </w:r>
    </w:p>
    <w:p w14:paraId="15A0D384"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TSCA Section 12(b) Export Notification (40 CFR 707, Subpt. D)</w:t>
      </w:r>
    </w:p>
    <w:p w14:paraId="55DF37AC"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None present or none present in regulated quantities.</w:t>
      </w:r>
    </w:p>
    <w:p w14:paraId="6F6792F7"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Superfund Amendments and Reauthorization Act of 1986 (SARA)</w:t>
      </w:r>
    </w:p>
    <w:p w14:paraId="737E0F34"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Hazard categories</w:t>
      </w:r>
    </w:p>
    <w:p w14:paraId="461A394C"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Immediate</w:t>
      </w:r>
    </w:p>
    <w:p w14:paraId="7714F8BD"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(Acute) Health</w:t>
      </w:r>
    </w:p>
    <w:p w14:paraId="7A976C95"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Hazards</w:t>
      </w:r>
    </w:p>
    <w:p w14:paraId="1E2D8F22"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SARA 302 Extremely Hazardous Substance</w:t>
      </w:r>
    </w:p>
    <w:p w14:paraId="54D8E0B2"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SARA 304 Emergency Release Notification</w:t>
      </w:r>
    </w:p>
    <w:p w14:paraId="1F30E23C"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SARA 311/312 Hazardous Chemical</w:t>
      </w:r>
    </w:p>
    <w:p w14:paraId="3163DBE8"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SARA 313 (TRI Reporting)</w:t>
      </w:r>
    </w:p>
    <w:p w14:paraId="5EF83164"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This product may contain chemical(s) regulated under the Superfund Amendments and Reauthorization</w:t>
      </w:r>
    </w:p>
    <w:p w14:paraId="728BA88F"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Act (SARA). For additional information please contact Lubrizol Customer Assistance: America(s): AmerLZAMCustomerAssistance@Lubrizol.com ; Europe: EMEAICustomerAssistance@Lubrizol.com ;</w:t>
      </w:r>
    </w:p>
    <w:p w14:paraId="72CE70FB"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Asia: APCustomerAssistance@Lubrizol.com</w:t>
      </w:r>
    </w:p>
    <w:p w14:paraId="74D130E9"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US State Regulations US. California Proposition 65</w:t>
      </w:r>
    </w:p>
    <w:p w14:paraId="184E51DC"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No ingredient regulated by CA Prop 65 present.</w:t>
      </w:r>
    </w:p>
    <w:p w14:paraId="0FA7181A"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Inventory Status</w:t>
      </w:r>
    </w:p>
    <w:p w14:paraId="1854533F"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Australia (AICS)</w:t>
      </w:r>
    </w:p>
    <w:p w14:paraId="760A5B65"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This product contains a substance that is not listed on the Australia Inventory of Chemical Substances.</w:t>
      </w:r>
    </w:p>
    <w:p w14:paraId="066124C9"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Canada (DSL/NDSL)</w:t>
      </w:r>
    </w:p>
    <w:p w14:paraId="57CCE67F" w14:textId="77777777" w:rsidR="00A3693F"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All components are in compliance with the Canadian Environmental Protection Act and are present on the Domestic Substances List.</w:t>
      </w:r>
    </w:p>
    <w:p w14:paraId="6AB367CE"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China (IECSC)</w:t>
      </w:r>
    </w:p>
    <w:p w14:paraId="7FA24996"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lastRenderedPageBreak/>
        <w:t>All components of this product are listed on the Inventory of Existing Chemical Substances in China.</w:t>
      </w:r>
    </w:p>
    <w:p w14:paraId="0FEDF415"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European Union (REACh)</w:t>
      </w:r>
    </w:p>
    <w:p w14:paraId="36B99562"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To obtain information on the REACH compliance status of this product, please visit Lubrizol.com/REACH, or</w:t>
      </w:r>
    </w:p>
    <w:p w14:paraId="08A49C95"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e-mail us at REACH_MSDS_INQUIRIES@Lubrizol.com</w:t>
      </w:r>
    </w:p>
    <w:p w14:paraId="2E17BAA6"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Japan (ENCS)</w:t>
      </w:r>
    </w:p>
    <w:p w14:paraId="5F6046D2"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All components are in compliance with the Chemical Substances Control Law of Japan.</w:t>
      </w:r>
    </w:p>
    <w:p w14:paraId="0B89E24D"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Korea (ECL)</w:t>
      </w:r>
    </w:p>
    <w:p w14:paraId="43BB48B0"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All components are in compliance in Korea.</w:t>
      </w:r>
    </w:p>
    <w:p w14:paraId="02E061EE"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New Zealand (NZIoC)</w:t>
      </w:r>
    </w:p>
    <w:p w14:paraId="7519A0B4"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All components are in compliance with chemical notification requirements in New Zealand.</w:t>
      </w:r>
    </w:p>
    <w:p w14:paraId="733710E7"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Philippines (PICCS)</w:t>
      </w:r>
    </w:p>
    <w:p w14:paraId="229053E6"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All components are in compliance with the Philippines Toxic Substances and Hazardous and Nuclear</w:t>
      </w:r>
    </w:p>
    <w:p w14:paraId="15EF5A47"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Wastes Control Act of 1990 (R.A. 6969).</w:t>
      </w:r>
    </w:p>
    <w:p w14:paraId="1A67005B"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Switzerland (SWISS)</w:t>
      </w:r>
    </w:p>
    <w:p w14:paraId="7C855D20"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All components are in compliance with the Environmentally Hazardous Substances Ordinance in</w:t>
      </w:r>
    </w:p>
    <w:p w14:paraId="23528C10"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Switzerland.</w:t>
      </w:r>
    </w:p>
    <w:p w14:paraId="30D409F8"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Taiwan (TCSCA)</w:t>
      </w:r>
    </w:p>
    <w:p w14:paraId="518F45DC"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All components of this product are listed on the Taiwan inventory.</w:t>
      </w:r>
    </w:p>
    <w:p w14:paraId="0077EFCD"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United States (TSCA)</w:t>
      </w:r>
    </w:p>
    <w:p w14:paraId="14374E03"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All components of this material are on the US TSCA Inventory.</w:t>
      </w:r>
    </w:p>
    <w:p w14:paraId="28B887F5" w14:textId="77777777" w:rsidR="00434EB4" w:rsidRPr="00B56294" w:rsidRDefault="00434EB4"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t>The information that was used to confirm the compliance status of this product may deviate from the chemical information shown in Section 3</w:t>
      </w:r>
    </w:p>
    <w:p w14:paraId="4A449031" w14:textId="77777777" w:rsidR="00A3693F" w:rsidRPr="00B56294" w:rsidRDefault="00A3693F" w:rsidP="00A3693F">
      <w:pPr>
        <w:spacing w:after="0" w:line="240" w:lineRule="auto"/>
        <w:rPr>
          <w:rFonts w:ascii="Century Gothic" w:eastAsia="Times New Roman" w:hAnsi="Century Gothic"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693F" w:rsidRPr="00B56294" w14:paraId="4F240F82" w14:textId="77777777" w:rsidTr="00A3693F">
        <w:tc>
          <w:tcPr>
            <w:tcW w:w="13176" w:type="dxa"/>
            <w:tcBorders>
              <w:top w:val="nil"/>
              <w:left w:val="nil"/>
              <w:bottom w:val="nil"/>
              <w:right w:val="nil"/>
            </w:tcBorders>
            <w:shd w:val="clear" w:color="auto" w:fill="FF0000"/>
            <w:tcMar>
              <w:top w:w="0" w:type="dxa"/>
              <w:left w:w="108" w:type="dxa"/>
              <w:bottom w:w="0" w:type="dxa"/>
              <w:right w:w="108" w:type="dxa"/>
            </w:tcMar>
            <w:hideMark/>
          </w:tcPr>
          <w:p w14:paraId="435C8340" w14:textId="77777777" w:rsidR="00A3693F" w:rsidRPr="00B56294" w:rsidRDefault="00A3693F">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56294">
              <w:rPr>
                <w:rFonts w:ascii="Century Gothic" w:eastAsia="Times New Roman" w:hAnsi="Century Gothic" w:cs="Times New Roman"/>
                <w:bCs/>
                <w:color w:val="FFFFFF" w:themeColor="background1"/>
                <w:sz w:val="24"/>
                <w:szCs w:val="24"/>
              </w:rPr>
              <w:t>SECTION 16                                                        OTHER INFORMATION</w:t>
            </w:r>
          </w:p>
        </w:tc>
      </w:tr>
    </w:tbl>
    <w:p w14:paraId="3573BF3A" w14:textId="77777777" w:rsidR="00A3693F" w:rsidRPr="00B56294" w:rsidRDefault="00A3693F" w:rsidP="00434EB4">
      <w:pPr>
        <w:spacing w:after="0" w:line="240" w:lineRule="auto"/>
        <w:rPr>
          <w:rFonts w:ascii="Century Gothic" w:eastAsia="Times New Roman" w:hAnsi="Century Gothic" w:cs="Arial"/>
          <w:sz w:val="24"/>
          <w:szCs w:val="24"/>
        </w:rPr>
      </w:pPr>
      <w:r w:rsidRPr="00B56294">
        <w:rPr>
          <w:rFonts w:ascii="Century Gothic" w:eastAsia="Times New Roman" w:hAnsi="Century Gothic" w:cs="Arial"/>
          <w:sz w:val="24"/>
          <w:szCs w:val="24"/>
        </w:rPr>
        <w:br/>
      </w:r>
    </w:p>
    <w:p w14:paraId="347BD51C" w14:textId="77777777" w:rsidR="00A3693F" w:rsidRPr="00B56294" w:rsidRDefault="00A3693F" w:rsidP="00A3693F">
      <w:pPr>
        <w:spacing w:after="0" w:line="240" w:lineRule="auto"/>
        <w:rPr>
          <w:rFonts w:ascii="Century Gothic" w:eastAsia="Times New Roman" w:hAnsi="Century Gothic" w:cs="Arial"/>
          <w:sz w:val="24"/>
          <w:szCs w:val="24"/>
        </w:rPr>
      </w:pPr>
      <w:r w:rsidRPr="00B56294">
        <w:rPr>
          <w:rFonts w:ascii="Century Gothic" w:eastAsia="Times New Roman" w:hAnsi="Century Gothic" w:cs="Arial"/>
          <w:b/>
          <w:bCs/>
          <w:sz w:val="24"/>
          <w:szCs w:val="24"/>
        </w:rPr>
        <w:t>THIS SAFETY DATA SHEET CONTAINS THE FOLLOWING REVISIONS:</w:t>
      </w:r>
      <w:r w:rsidRPr="00B56294">
        <w:rPr>
          <w:rFonts w:ascii="Century Gothic" w:eastAsia="Times New Roman" w:hAnsi="Century Gothic" w:cs="Arial"/>
          <w:sz w:val="24"/>
          <w:szCs w:val="24"/>
        </w:rPr>
        <w:br/>
        <w:t>Updates made in accordance with implementations of GHS requirements. </w:t>
      </w:r>
      <w:r w:rsidRPr="00B56294">
        <w:rPr>
          <w:rFonts w:ascii="Century Gothic" w:eastAsia="Times New Roman" w:hAnsi="Century Gothic" w:cs="Arial"/>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w:t>
      </w:r>
      <w:r w:rsidRPr="00B56294">
        <w:rPr>
          <w:rFonts w:ascii="Century Gothic" w:eastAsia="Times New Roman" w:hAnsi="Century Gothic" w:cs="Arial"/>
          <w:sz w:val="24"/>
          <w:szCs w:val="24"/>
        </w:rPr>
        <w:lastRenderedPageBreak/>
        <w:t>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DAB6020" w14:textId="77777777" w:rsidR="004664E7" w:rsidRPr="00B56294" w:rsidRDefault="004664E7">
      <w:pPr>
        <w:rPr>
          <w:sz w:val="24"/>
          <w:szCs w:val="24"/>
        </w:rPr>
      </w:pPr>
    </w:p>
    <w:sectPr w:rsidR="004664E7" w:rsidRPr="00B562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790B" w14:textId="77777777" w:rsidR="0069245B" w:rsidRDefault="0069245B" w:rsidP="00A3693F">
      <w:pPr>
        <w:spacing w:after="0" w:line="240" w:lineRule="auto"/>
      </w:pPr>
      <w:r>
        <w:separator/>
      </w:r>
    </w:p>
  </w:endnote>
  <w:endnote w:type="continuationSeparator" w:id="0">
    <w:p w14:paraId="656C5B54" w14:textId="77777777" w:rsidR="0069245B" w:rsidRDefault="0069245B" w:rsidP="00A3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7403" w14:textId="77777777" w:rsidR="0069245B" w:rsidRDefault="0069245B" w:rsidP="00A3693F">
      <w:pPr>
        <w:spacing w:after="0" w:line="240" w:lineRule="auto"/>
      </w:pPr>
      <w:r>
        <w:separator/>
      </w:r>
    </w:p>
  </w:footnote>
  <w:footnote w:type="continuationSeparator" w:id="0">
    <w:p w14:paraId="4DE3D1C9" w14:textId="77777777" w:rsidR="0069245B" w:rsidRDefault="0069245B" w:rsidP="00A3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748E" w14:textId="77777777" w:rsidR="00A3693F" w:rsidRDefault="00A3693F">
    <w:pPr>
      <w:pStyle w:val="Header"/>
    </w:pPr>
    <w:r>
      <w:rPr>
        <w:noProof/>
      </w:rPr>
      <w:drawing>
        <wp:inline distT="0" distB="0" distL="0" distR="0" wp14:anchorId="1A36B95C" wp14:editId="4071C6CE">
          <wp:extent cx="5981457" cy="66395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5159"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93F"/>
    <w:rsid w:val="00226B11"/>
    <w:rsid w:val="002B0704"/>
    <w:rsid w:val="00311D8A"/>
    <w:rsid w:val="003131F8"/>
    <w:rsid w:val="0031581F"/>
    <w:rsid w:val="003340F9"/>
    <w:rsid w:val="003F4E37"/>
    <w:rsid w:val="00401011"/>
    <w:rsid w:val="004020ED"/>
    <w:rsid w:val="00434EB4"/>
    <w:rsid w:val="004628C1"/>
    <w:rsid w:val="004664E7"/>
    <w:rsid w:val="004F4353"/>
    <w:rsid w:val="005C50F5"/>
    <w:rsid w:val="0069245B"/>
    <w:rsid w:val="00872D57"/>
    <w:rsid w:val="009237F9"/>
    <w:rsid w:val="00A3693F"/>
    <w:rsid w:val="00B56294"/>
    <w:rsid w:val="00B8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C76FF4"/>
  <w15:docId w15:val="{03B682FD-E3E6-4A33-8A1B-127AC682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93F"/>
    <w:pPr>
      <w:spacing w:after="0" w:line="240" w:lineRule="auto"/>
    </w:pPr>
    <w:rPr>
      <w:rFonts w:eastAsiaTheme="minorEastAsia"/>
      <w:sz w:val="24"/>
      <w:szCs w:val="24"/>
    </w:rPr>
  </w:style>
  <w:style w:type="paragraph" w:styleId="Header">
    <w:name w:val="header"/>
    <w:basedOn w:val="Normal"/>
    <w:link w:val="HeaderChar"/>
    <w:uiPriority w:val="99"/>
    <w:unhideWhenUsed/>
    <w:rsid w:val="00A3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3F"/>
  </w:style>
  <w:style w:type="paragraph" w:styleId="Footer">
    <w:name w:val="footer"/>
    <w:basedOn w:val="Normal"/>
    <w:link w:val="FooterChar"/>
    <w:uiPriority w:val="99"/>
    <w:unhideWhenUsed/>
    <w:rsid w:val="00A3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3F"/>
  </w:style>
  <w:style w:type="paragraph" w:styleId="BalloonText">
    <w:name w:val="Balloon Text"/>
    <w:basedOn w:val="Normal"/>
    <w:link w:val="BalloonTextChar"/>
    <w:uiPriority w:val="99"/>
    <w:semiHidden/>
    <w:unhideWhenUsed/>
    <w:rsid w:val="00A3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3F"/>
    <w:rPr>
      <w:rFonts w:ascii="Tahoma" w:hAnsi="Tahoma" w:cs="Tahoma"/>
      <w:sz w:val="16"/>
      <w:szCs w:val="16"/>
    </w:rPr>
  </w:style>
  <w:style w:type="table" w:styleId="TableGrid">
    <w:name w:val="Table Grid"/>
    <w:basedOn w:val="TableNormal"/>
    <w:uiPriority w:val="59"/>
    <w:rsid w:val="00A3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15</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2018-09-07T15:23:00Z</cp:lastPrinted>
  <dcterms:created xsi:type="dcterms:W3CDTF">2015-07-07T16:44:00Z</dcterms:created>
  <dcterms:modified xsi:type="dcterms:W3CDTF">2022-01-07T17:56:00Z</dcterms:modified>
</cp:coreProperties>
</file>