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6BE" w:rsidRPr="00C266BE" w:rsidRDefault="00C266BE" w:rsidP="00C266BE">
      <w:pPr>
        <w:autoSpaceDN w:val="0"/>
        <w:spacing w:after="0" w:line="240" w:lineRule="auto"/>
        <w:rPr>
          <w:rFonts w:ascii="Century Gothic" w:eastAsiaTheme="minorEastAsia" w:hAnsi="Century Gothic"/>
          <w:b/>
          <w:color w:val="000000" w:themeColor="text1"/>
          <w:sz w:val="24"/>
          <w:szCs w:val="24"/>
        </w:rPr>
      </w:pPr>
    </w:p>
    <w:p w:rsidR="00C266BE" w:rsidRPr="00C266BE" w:rsidRDefault="00C266BE" w:rsidP="00C266BE">
      <w:pPr>
        <w:autoSpaceDN w:val="0"/>
        <w:spacing w:after="0" w:line="240" w:lineRule="auto"/>
        <w:rPr>
          <w:rFonts w:ascii="Century Gothic" w:eastAsiaTheme="minorEastAsia" w:hAnsi="Century Gothic"/>
          <w:b/>
          <w:color w:val="000000" w:themeColor="text1"/>
          <w:sz w:val="24"/>
          <w:szCs w:val="24"/>
        </w:rPr>
      </w:pPr>
      <w:r w:rsidRPr="00C266BE">
        <w:rPr>
          <w:rFonts w:ascii="Century Gothic" w:eastAsiaTheme="minorEastAsia" w:hAnsi="Century Gothic"/>
          <w:b/>
          <w:color w:val="000000" w:themeColor="text1"/>
          <w:sz w:val="24"/>
          <w:szCs w:val="24"/>
        </w:rPr>
        <w:t xml:space="preserve">Beacon </w:t>
      </w:r>
      <w:r w:rsidR="00337705">
        <w:rPr>
          <w:rFonts w:ascii="Century Gothic" w:eastAsiaTheme="minorEastAsia" w:hAnsi="Century Gothic"/>
          <w:b/>
          <w:color w:val="000000" w:themeColor="text1"/>
          <w:sz w:val="24"/>
          <w:szCs w:val="24"/>
        </w:rPr>
        <w:t xml:space="preserve">Signal Tap </w:t>
      </w:r>
      <w:proofErr w:type="gramStart"/>
      <w:r w:rsidR="00337705">
        <w:rPr>
          <w:rFonts w:ascii="Century Gothic" w:eastAsiaTheme="minorEastAsia" w:hAnsi="Century Gothic"/>
          <w:b/>
          <w:color w:val="000000" w:themeColor="text1"/>
          <w:sz w:val="24"/>
          <w:szCs w:val="24"/>
        </w:rPr>
        <w:t>450 Oil</w:t>
      </w:r>
      <w:proofErr w:type="gramEnd"/>
    </w:p>
    <w:p w:rsidR="00C266BE" w:rsidRPr="00C266BE" w:rsidRDefault="00C266BE" w:rsidP="00C266BE">
      <w:pPr>
        <w:autoSpaceDN w:val="0"/>
        <w:spacing w:after="0" w:line="240" w:lineRule="auto"/>
        <w:rPr>
          <w:rFonts w:ascii="Century Gothic" w:eastAsiaTheme="minorEastAsia" w:hAnsi="Century Gothic"/>
          <w:b/>
          <w:color w:val="000000" w:themeColor="text1"/>
          <w:sz w:val="24"/>
          <w:szCs w:val="24"/>
        </w:rPr>
      </w:pPr>
    </w:p>
    <w:tbl>
      <w:tblPr>
        <w:tblStyle w:val="TableGrid"/>
        <w:tblW w:w="0" w:type="auto"/>
        <w:tblInd w:w="108" w:type="dxa"/>
        <w:tblLook w:val="04A0" w:firstRow="1" w:lastRow="0" w:firstColumn="1" w:lastColumn="0" w:noHBand="0" w:noVBand="1"/>
      </w:tblPr>
      <w:tblGrid>
        <w:gridCol w:w="9360"/>
      </w:tblGrid>
      <w:tr w:rsidR="00C266BE" w:rsidRPr="00C266BE" w:rsidTr="00AD27D8">
        <w:tc>
          <w:tcPr>
            <w:tcW w:w="9360" w:type="dxa"/>
            <w:tcBorders>
              <w:top w:val="nil"/>
              <w:left w:val="nil"/>
              <w:bottom w:val="nil"/>
              <w:right w:val="nil"/>
            </w:tcBorders>
            <w:shd w:val="clear" w:color="auto" w:fill="FF0000"/>
            <w:hideMark/>
          </w:tcPr>
          <w:p w:rsidR="00C266BE" w:rsidRPr="00C266BE" w:rsidRDefault="00C266BE" w:rsidP="00C266BE">
            <w:pPr>
              <w:autoSpaceDN w:val="0"/>
              <w:jc w:val="center"/>
              <w:rPr>
                <w:rFonts w:ascii="Century Gothic" w:hAnsi="Century Gothic"/>
                <w:color w:val="FFFFFF" w:themeColor="background1"/>
                <w:sz w:val="20"/>
                <w:szCs w:val="20"/>
              </w:rPr>
            </w:pPr>
            <w:r w:rsidRPr="00C266BE">
              <w:rPr>
                <w:rFonts w:ascii="Century Gothic" w:hAnsi="Century Gothic"/>
                <w:color w:val="FFFFFF" w:themeColor="background1"/>
                <w:sz w:val="20"/>
                <w:szCs w:val="20"/>
              </w:rPr>
              <w:t>Product Application:</w:t>
            </w:r>
          </w:p>
        </w:tc>
      </w:tr>
    </w:tbl>
    <w:p w:rsidR="00C266BE" w:rsidRPr="00C266BE" w:rsidRDefault="00C266BE" w:rsidP="00C266BE">
      <w:pPr>
        <w:autoSpaceDN w:val="0"/>
        <w:spacing w:after="0" w:line="240" w:lineRule="auto"/>
        <w:rPr>
          <w:rFonts w:ascii="Century Gothic" w:eastAsiaTheme="minorEastAsia" w:hAnsi="Century Gothic"/>
          <w:sz w:val="20"/>
          <w:szCs w:val="20"/>
        </w:rPr>
      </w:pPr>
    </w:p>
    <w:p w:rsidR="00C266BE" w:rsidRPr="00C266BE" w:rsidRDefault="00C266BE" w:rsidP="00C266BE">
      <w:pPr>
        <w:autoSpaceDN w:val="0"/>
        <w:spacing w:after="0" w:line="240" w:lineRule="auto"/>
        <w:rPr>
          <w:rFonts w:ascii="Century Gothic" w:eastAsiaTheme="minorEastAsia" w:hAnsi="Century Gothic"/>
          <w:sz w:val="20"/>
          <w:szCs w:val="20"/>
        </w:rPr>
      </w:pPr>
      <w:r w:rsidRPr="00C266BE">
        <w:rPr>
          <w:rFonts w:ascii="Century Gothic" w:eastAsiaTheme="minorEastAsia" w:hAnsi="Century Gothic"/>
          <w:sz w:val="20"/>
          <w:szCs w:val="20"/>
        </w:rPr>
        <w:t>Beacon Signal T</w:t>
      </w:r>
      <w:r w:rsidR="00337705">
        <w:rPr>
          <w:rFonts w:ascii="Century Gothic" w:eastAsiaTheme="minorEastAsia" w:hAnsi="Century Gothic"/>
          <w:sz w:val="20"/>
          <w:szCs w:val="20"/>
        </w:rPr>
        <w:t xml:space="preserve">ap 450 Oil is a dark colored sulfurized, heavily fortified cutting fluid recommended for the most severe threading, </w:t>
      </w:r>
      <w:proofErr w:type="gramStart"/>
      <w:r w:rsidR="00337705">
        <w:rPr>
          <w:rFonts w:ascii="Century Gothic" w:eastAsiaTheme="minorEastAsia" w:hAnsi="Century Gothic"/>
          <w:sz w:val="20"/>
          <w:szCs w:val="20"/>
        </w:rPr>
        <w:t>tapping ,</w:t>
      </w:r>
      <w:proofErr w:type="gramEnd"/>
      <w:r w:rsidR="00337705">
        <w:rPr>
          <w:rFonts w:ascii="Century Gothic" w:eastAsiaTheme="minorEastAsia" w:hAnsi="Century Gothic"/>
          <w:sz w:val="20"/>
          <w:szCs w:val="20"/>
        </w:rPr>
        <w:t xml:space="preserve"> broaching, and other operations. </w:t>
      </w:r>
    </w:p>
    <w:p w:rsidR="00C266BE" w:rsidRPr="00C266BE" w:rsidRDefault="00C266BE" w:rsidP="00C266BE">
      <w:pPr>
        <w:autoSpaceDN w:val="0"/>
        <w:spacing w:after="0" w:line="240" w:lineRule="auto"/>
        <w:rPr>
          <w:rFonts w:ascii="Century Gothic" w:eastAsiaTheme="minorEastAsia" w:hAnsi="Century Gothic"/>
          <w:sz w:val="20"/>
          <w:szCs w:val="20"/>
        </w:rPr>
      </w:pPr>
    </w:p>
    <w:p w:rsidR="00C266BE" w:rsidRPr="00C266BE" w:rsidRDefault="00E37F6C" w:rsidP="00C266BE">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 xml:space="preserve">Signal Tap 450 </w:t>
      </w:r>
      <w:bookmarkStart w:id="0" w:name="_GoBack"/>
      <w:bookmarkEnd w:id="0"/>
      <w:r w:rsidR="00C266BE" w:rsidRPr="00C266BE">
        <w:rPr>
          <w:rFonts w:ascii="Century Gothic" w:eastAsiaTheme="minorEastAsia" w:hAnsi="Century Gothic"/>
          <w:sz w:val="20"/>
          <w:szCs w:val="20"/>
        </w:rPr>
        <w:t xml:space="preserve">is formulated with exceptionally high viscosity indexed fluids allowing for art excellent viscosity range over all types of climates. </w:t>
      </w:r>
    </w:p>
    <w:p w:rsidR="00C266BE" w:rsidRPr="00C266BE" w:rsidRDefault="00C266BE" w:rsidP="00C266BE">
      <w:pPr>
        <w:autoSpaceDN w:val="0"/>
        <w:spacing w:after="0" w:line="240" w:lineRule="auto"/>
        <w:rPr>
          <w:rFonts w:ascii="Century Gothic" w:eastAsiaTheme="minorEastAsia" w:hAnsi="Century Gothic"/>
          <w:sz w:val="20"/>
          <w:szCs w:val="20"/>
        </w:rPr>
      </w:pPr>
    </w:p>
    <w:p w:rsidR="00C266BE" w:rsidRPr="00C266BE" w:rsidRDefault="00E37F6C" w:rsidP="00C266BE">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Signal Tap 450</w:t>
      </w:r>
      <w:r w:rsidR="00C266BE" w:rsidRPr="00C266BE">
        <w:rPr>
          <w:rFonts w:ascii="Century Gothic" w:eastAsiaTheme="minorEastAsia" w:hAnsi="Century Gothic"/>
          <w:sz w:val="20"/>
          <w:szCs w:val="20"/>
        </w:rPr>
        <w:t xml:space="preserve"> </w:t>
      </w:r>
      <w:r>
        <w:rPr>
          <w:rFonts w:ascii="Century Gothic" w:eastAsiaTheme="minorEastAsia" w:hAnsi="Century Gothic"/>
          <w:sz w:val="20"/>
          <w:szCs w:val="20"/>
        </w:rPr>
        <w:t>4</w:t>
      </w:r>
      <w:r w:rsidR="00C266BE" w:rsidRPr="00C266BE">
        <w:rPr>
          <w:rFonts w:ascii="Century Gothic" w:eastAsiaTheme="minorEastAsia" w:hAnsi="Century Gothic"/>
          <w:sz w:val="20"/>
          <w:szCs w:val="20"/>
        </w:rPr>
        <w:t xml:space="preserve">50 Oil is formulated with the latest synthesized base stocks and the most advanced additive componentry to provide excellent thermal and oxidative stability, tenacious shear stability while providing for extended drain intervals and maintaining critical seal protection. </w:t>
      </w:r>
    </w:p>
    <w:p w:rsidR="00C266BE" w:rsidRPr="00C266BE" w:rsidRDefault="00C266BE" w:rsidP="00C266BE">
      <w:pPr>
        <w:autoSpaceDN w:val="0"/>
        <w:spacing w:after="0" w:line="240" w:lineRule="auto"/>
        <w:rPr>
          <w:rFonts w:ascii="Century Gothic" w:eastAsiaTheme="minorEastAsia" w:hAnsi="Century Gothic"/>
          <w:sz w:val="20"/>
          <w:szCs w:val="20"/>
        </w:rPr>
      </w:pPr>
      <w:r w:rsidRPr="00C266BE">
        <w:rPr>
          <w:rFonts w:ascii="Century Gothic" w:eastAsiaTheme="minorEastAsia" w:hAnsi="Century Gothic"/>
          <w:sz w:val="20"/>
          <w:szCs w:val="20"/>
        </w:rPr>
        <w:t xml:space="preserve"> </w:t>
      </w:r>
    </w:p>
    <w:tbl>
      <w:tblPr>
        <w:tblStyle w:val="TableGrid"/>
        <w:tblW w:w="0" w:type="auto"/>
        <w:tblInd w:w="108" w:type="dxa"/>
        <w:tblLook w:val="04A0" w:firstRow="1" w:lastRow="0" w:firstColumn="1" w:lastColumn="0" w:noHBand="0" w:noVBand="1"/>
      </w:tblPr>
      <w:tblGrid>
        <w:gridCol w:w="9360"/>
      </w:tblGrid>
      <w:tr w:rsidR="00C266BE" w:rsidRPr="00C266BE" w:rsidTr="00AD27D8">
        <w:tc>
          <w:tcPr>
            <w:tcW w:w="9360" w:type="dxa"/>
            <w:tcBorders>
              <w:top w:val="nil"/>
              <w:left w:val="nil"/>
              <w:bottom w:val="nil"/>
              <w:right w:val="nil"/>
            </w:tcBorders>
            <w:shd w:val="clear" w:color="auto" w:fill="FF0000"/>
            <w:hideMark/>
          </w:tcPr>
          <w:p w:rsidR="00C266BE" w:rsidRPr="00C266BE" w:rsidRDefault="00C266BE" w:rsidP="00C266BE">
            <w:pPr>
              <w:autoSpaceDN w:val="0"/>
              <w:jc w:val="center"/>
              <w:rPr>
                <w:rFonts w:ascii="Century Gothic" w:hAnsi="Century Gothic"/>
                <w:color w:val="FFFFFF" w:themeColor="background1"/>
                <w:sz w:val="20"/>
                <w:szCs w:val="20"/>
              </w:rPr>
            </w:pPr>
            <w:r w:rsidRPr="00C266BE">
              <w:rPr>
                <w:rFonts w:ascii="Century Gothic" w:hAnsi="Century Gothic"/>
                <w:color w:val="FFFFFF" w:themeColor="background1"/>
                <w:sz w:val="20"/>
                <w:szCs w:val="20"/>
              </w:rPr>
              <w:t xml:space="preserve">Features and Advantages: </w:t>
            </w:r>
          </w:p>
        </w:tc>
      </w:tr>
    </w:tbl>
    <w:p w:rsidR="00C266BE" w:rsidRPr="00C266BE" w:rsidRDefault="00C266BE" w:rsidP="00C266BE">
      <w:pPr>
        <w:autoSpaceDN w:val="0"/>
        <w:spacing w:after="0" w:line="240" w:lineRule="auto"/>
        <w:rPr>
          <w:rFonts w:ascii="Century Gothic" w:eastAsiaTheme="minorEastAsia" w:hAnsi="Century Gothic"/>
          <w:sz w:val="20"/>
          <w:szCs w:val="20"/>
        </w:rPr>
      </w:pPr>
    </w:p>
    <w:p w:rsidR="00C266BE" w:rsidRDefault="00337705" w:rsidP="00C266BE">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*Mist suppressant minimizes fogging/stray mist</w:t>
      </w:r>
    </w:p>
    <w:p w:rsidR="00337705" w:rsidRDefault="00337705" w:rsidP="00C266BE">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*May be blended with mineral oil for high or lower viscosity</w:t>
      </w:r>
    </w:p>
    <w:p w:rsidR="00337705" w:rsidRPr="00C266BE" w:rsidRDefault="00337705" w:rsidP="00C266BE">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*Prevent rapid tool wear</w:t>
      </w:r>
    </w:p>
    <w:p w:rsidR="00C266BE" w:rsidRPr="00C266BE" w:rsidRDefault="00C266BE" w:rsidP="00C266BE">
      <w:pPr>
        <w:autoSpaceDN w:val="0"/>
        <w:spacing w:after="0" w:line="240" w:lineRule="auto"/>
        <w:rPr>
          <w:rFonts w:ascii="Century Gothic" w:eastAsiaTheme="minorEastAsia" w:hAnsi="Century Gothic"/>
          <w:sz w:val="20"/>
          <w:szCs w:val="20"/>
        </w:rPr>
      </w:pPr>
    </w:p>
    <w:tbl>
      <w:tblPr>
        <w:tblStyle w:val="TableGrid"/>
        <w:tblW w:w="0" w:type="auto"/>
        <w:tblInd w:w="108" w:type="dxa"/>
        <w:tblLook w:val="04A0" w:firstRow="1" w:lastRow="0" w:firstColumn="1" w:lastColumn="0" w:noHBand="0" w:noVBand="1"/>
      </w:tblPr>
      <w:tblGrid>
        <w:gridCol w:w="9360"/>
      </w:tblGrid>
      <w:tr w:rsidR="00C266BE" w:rsidRPr="00C266BE" w:rsidTr="00AD27D8">
        <w:tc>
          <w:tcPr>
            <w:tcW w:w="9360" w:type="dxa"/>
            <w:tcBorders>
              <w:top w:val="nil"/>
              <w:left w:val="nil"/>
              <w:bottom w:val="nil"/>
              <w:right w:val="nil"/>
            </w:tcBorders>
            <w:shd w:val="clear" w:color="auto" w:fill="FF0000"/>
            <w:hideMark/>
          </w:tcPr>
          <w:p w:rsidR="00C266BE" w:rsidRPr="00C266BE" w:rsidRDefault="00337705" w:rsidP="00C266BE">
            <w:pPr>
              <w:autoSpaceDN w:val="0"/>
              <w:jc w:val="center"/>
              <w:rPr>
                <w:rFonts w:ascii="Century Gothic" w:hAnsi="Century Gothic"/>
                <w:color w:val="FFFFFF" w:themeColor="background1"/>
                <w:sz w:val="20"/>
                <w:szCs w:val="20"/>
              </w:rPr>
            </w:pPr>
            <w:r>
              <w:rPr>
                <w:rFonts w:ascii="Century Gothic" w:hAnsi="Century Gothic"/>
                <w:color w:val="FFFFFF" w:themeColor="background1"/>
                <w:sz w:val="20"/>
                <w:szCs w:val="20"/>
              </w:rPr>
              <w:t>Package Size:</w:t>
            </w:r>
            <w:r w:rsidR="00C266BE" w:rsidRPr="00C266BE">
              <w:rPr>
                <w:rFonts w:ascii="Century Gothic" w:hAnsi="Century Gothic"/>
                <w:color w:val="FFFFFF" w:themeColor="background1"/>
                <w:sz w:val="20"/>
                <w:szCs w:val="20"/>
              </w:rPr>
              <w:t xml:space="preserve"> </w:t>
            </w:r>
          </w:p>
        </w:tc>
      </w:tr>
    </w:tbl>
    <w:p w:rsidR="00C266BE" w:rsidRPr="00C266BE" w:rsidRDefault="00C266BE" w:rsidP="00C266BE">
      <w:pPr>
        <w:autoSpaceDN w:val="0"/>
        <w:spacing w:after="0" w:line="240" w:lineRule="auto"/>
        <w:rPr>
          <w:rFonts w:ascii="Century Gothic" w:eastAsiaTheme="minorEastAsia" w:hAnsi="Century Gothic"/>
          <w:sz w:val="20"/>
          <w:szCs w:val="20"/>
        </w:rPr>
      </w:pPr>
    </w:p>
    <w:p w:rsidR="00C266BE" w:rsidRDefault="00337705" w:rsidP="00C266BE">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Drums, Pails, Quarts</w:t>
      </w:r>
    </w:p>
    <w:p w:rsidR="00337705" w:rsidRPr="00C266BE" w:rsidRDefault="00337705" w:rsidP="00C266BE">
      <w:pPr>
        <w:autoSpaceDN w:val="0"/>
        <w:spacing w:after="0" w:line="240" w:lineRule="auto"/>
        <w:rPr>
          <w:rFonts w:ascii="Century Gothic" w:eastAsiaTheme="minorEastAsia" w:hAnsi="Century Gothic"/>
          <w:sz w:val="20"/>
          <w:szCs w:val="20"/>
        </w:rPr>
      </w:pPr>
    </w:p>
    <w:tbl>
      <w:tblPr>
        <w:tblStyle w:val="TableGrid"/>
        <w:tblW w:w="0" w:type="auto"/>
        <w:tblInd w:w="108" w:type="dxa"/>
        <w:tblLook w:val="04A0" w:firstRow="1" w:lastRow="0" w:firstColumn="1" w:lastColumn="0" w:noHBand="0" w:noVBand="1"/>
      </w:tblPr>
      <w:tblGrid>
        <w:gridCol w:w="9360"/>
      </w:tblGrid>
      <w:tr w:rsidR="00C266BE" w:rsidRPr="00C266BE" w:rsidTr="00AD27D8">
        <w:tc>
          <w:tcPr>
            <w:tcW w:w="9360" w:type="dxa"/>
            <w:tcBorders>
              <w:top w:val="nil"/>
              <w:left w:val="nil"/>
              <w:bottom w:val="nil"/>
              <w:right w:val="nil"/>
            </w:tcBorders>
            <w:shd w:val="clear" w:color="auto" w:fill="FF0000"/>
            <w:hideMark/>
          </w:tcPr>
          <w:p w:rsidR="00C266BE" w:rsidRPr="00C266BE" w:rsidRDefault="00C266BE" w:rsidP="00C266BE">
            <w:pPr>
              <w:autoSpaceDN w:val="0"/>
              <w:jc w:val="center"/>
              <w:rPr>
                <w:rFonts w:ascii="Century Gothic" w:hAnsi="Century Gothic"/>
                <w:color w:val="FFFFFF" w:themeColor="background1"/>
                <w:sz w:val="20"/>
                <w:szCs w:val="20"/>
              </w:rPr>
            </w:pPr>
            <w:r w:rsidRPr="00C266BE">
              <w:rPr>
                <w:rFonts w:ascii="Century Gothic" w:hAnsi="Century Gothic"/>
                <w:color w:val="FFFFFF" w:themeColor="background1"/>
                <w:sz w:val="20"/>
                <w:szCs w:val="20"/>
              </w:rPr>
              <w:t xml:space="preserve">Typical Characteristics: </w:t>
            </w:r>
          </w:p>
        </w:tc>
      </w:tr>
    </w:tbl>
    <w:p w:rsidR="00C266BE" w:rsidRPr="00C266BE" w:rsidRDefault="00C266BE" w:rsidP="00C266BE">
      <w:pPr>
        <w:overflowPunct w:val="0"/>
        <w:autoSpaceDE w:val="0"/>
        <w:autoSpaceDN w:val="0"/>
        <w:adjustRightInd w:val="0"/>
        <w:spacing w:after="0" w:line="240" w:lineRule="auto"/>
        <w:ind w:left="2880"/>
        <w:rPr>
          <w:rFonts w:ascii="Century Gothic" w:eastAsia="Times New Roman" w:hAnsi="Century Gothic" w:cs="Times New Roman"/>
          <w:b/>
          <w:sz w:val="20"/>
          <w:szCs w:val="20"/>
        </w:rPr>
      </w:pPr>
    </w:p>
    <w:p w:rsidR="00A34B33" w:rsidRDefault="00BF3C55">
      <w:pPr>
        <w:rPr>
          <w:rFonts w:ascii="Century Gothic" w:eastAsia="Times New Roman" w:hAnsi="Century Gothic" w:cs="Times New Roman"/>
          <w:sz w:val="20"/>
          <w:szCs w:val="20"/>
        </w:rPr>
      </w:pPr>
      <w:r>
        <w:rPr>
          <w:rFonts w:ascii="Century Gothic" w:eastAsia="Times New Roman" w:hAnsi="Century Gothic" w:cs="Times New Roman"/>
          <w:sz w:val="20"/>
          <w:szCs w:val="20"/>
        </w:rPr>
        <w:t>Color ASTM</w:t>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t>8</w:t>
      </w:r>
    </w:p>
    <w:p w:rsidR="00A5185C" w:rsidRDefault="00A5185C">
      <w:pPr>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Viscosity </w:t>
      </w:r>
      <w:proofErr w:type="spellStart"/>
      <w:proofErr w:type="gramStart"/>
      <w:r>
        <w:rPr>
          <w:rFonts w:ascii="Century Gothic" w:eastAsia="Times New Roman" w:hAnsi="Century Gothic" w:cs="Times New Roman"/>
          <w:sz w:val="20"/>
          <w:szCs w:val="20"/>
        </w:rPr>
        <w:t>cSt</w:t>
      </w:r>
      <w:proofErr w:type="spellEnd"/>
      <w:proofErr w:type="gramEnd"/>
      <w:r>
        <w:rPr>
          <w:rFonts w:ascii="Century Gothic" w:eastAsia="Times New Roman" w:hAnsi="Century Gothic" w:cs="Times New Roman"/>
          <w:sz w:val="20"/>
          <w:szCs w:val="20"/>
        </w:rPr>
        <w:t xml:space="preserve"> @ 40</w:t>
      </w:r>
      <w:r w:rsidR="00BF3C55">
        <w:rPr>
          <w:rFonts w:ascii="Century Gothic" w:eastAsia="Times New Roman" w:hAnsi="Century Gothic" w:cs="Times New Roman"/>
          <w:sz w:val="20"/>
          <w:szCs w:val="20"/>
        </w:rPr>
        <w:t>°C</w:t>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t>250</w:t>
      </w:r>
    </w:p>
    <w:p w:rsidR="00BF3C55" w:rsidRDefault="00A5185C">
      <w:pPr>
        <w:rPr>
          <w:rFonts w:ascii="Century Gothic" w:eastAsia="Times New Roman" w:hAnsi="Century Gothic" w:cs="Times New Roman"/>
          <w:sz w:val="20"/>
          <w:szCs w:val="20"/>
        </w:rPr>
      </w:pPr>
      <w:proofErr w:type="spellStart"/>
      <w:proofErr w:type="gramStart"/>
      <w:r>
        <w:rPr>
          <w:rFonts w:ascii="Century Gothic" w:eastAsia="Times New Roman" w:hAnsi="Century Gothic" w:cs="Times New Roman"/>
          <w:sz w:val="20"/>
          <w:szCs w:val="20"/>
        </w:rPr>
        <w:t>cSt</w:t>
      </w:r>
      <w:proofErr w:type="spellEnd"/>
      <w:proofErr w:type="gramEnd"/>
      <w:r>
        <w:rPr>
          <w:rFonts w:ascii="Century Gothic" w:eastAsia="Times New Roman" w:hAnsi="Century Gothic" w:cs="Times New Roman"/>
          <w:sz w:val="20"/>
          <w:szCs w:val="20"/>
        </w:rPr>
        <w:t xml:space="preserve"> @ 100°C</w:t>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sidR="00BF3C55">
        <w:rPr>
          <w:rFonts w:ascii="Century Gothic" w:eastAsia="Times New Roman" w:hAnsi="Century Gothic" w:cs="Times New Roman"/>
          <w:sz w:val="20"/>
          <w:szCs w:val="20"/>
        </w:rPr>
        <w:tab/>
      </w:r>
      <w:r w:rsidR="00BF3C55">
        <w:rPr>
          <w:rFonts w:ascii="Century Gothic" w:eastAsia="Times New Roman" w:hAnsi="Century Gothic" w:cs="Times New Roman"/>
          <w:sz w:val="20"/>
          <w:szCs w:val="20"/>
        </w:rPr>
        <w:tab/>
      </w:r>
      <w:r w:rsidR="00BF3C55">
        <w:rPr>
          <w:rFonts w:ascii="Century Gothic" w:eastAsia="Times New Roman" w:hAnsi="Century Gothic" w:cs="Times New Roman"/>
          <w:sz w:val="20"/>
          <w:szCs w:val="20"/>
        </w:rPr>
        <w:tab/>
      </w:r>
      <w:r>
        <w:rPr>
          <w:rFonts w:ascii="Century Gothic" w:eastAsia="Times New Roman" w:hAnsi="Century Gothic" w:cs="Times New Roman"/>
          <w:sz w:val="20"/>
          <w:szCs w:val="20"/>
        </w:rPr>
        <w:t>20</w:t>
      </w:r>
    </w:p>
    <w:p w:rsidR="00BF3C55" w:rsidRDefault="00BF3C55">
      <w:pPr>
        <w:rPr>
          <w:rFonts w:ascii="Century Gothic" w:eastAsia="Times New Roman" w:hAnsi="Century Gothic" w:cs="Times New Roman"/>
          <w:sz w:val="20"/>
          <w:szCs w:val="20"/>
        </w:rPr>
      </w:pPr>
      <w:r>
        <w:rPr>
          <w:rFonts w:ascii="Century Gothic" w:eastAsia="Times New Roman" w:hAnsi="Century Gothic" w:cs="Times New Roman"/>
          <w:sz w:val="20"/>
          <w:szCs w:val="20"/>
        </w:rPr>
        <w:t>Flash Point, C.O.C.</w:t>
      </w:r>
      <w:proofErr w:type="gramStart"/>
      <w:r>
        <w:rPr>
          <w:rFonts w:ascii="Century Gothic" w:eastAsia="Times New Roman" w:hAnsi="Century Gothic" w:cs="Times New Roman"/>
          <w:sz w:val="20"/>
          <w:szCs w:val="20"/>
        </w:rPr>
        <w:t>,°</w:t>
      </w:r>
      <w:proofErr w:type="gramEnd"/>
      <w:r>
        <w:rPr>
          <w:rFonts w:ascii="Century Gothic" w:eastAsia="Times New Roman" w:hAnsi="Century Gothic" w:cs="Times New Roman"/>
          <w:sz w:val="20"/>
          <w:szCs w:val="20"/>
        </w:rPr>
        <w:t>C</w:t>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t>20</w:t>
      </w:r>
    </w:p>
    <w:p w:rsidR="00BF3C55" w:rsidRDefault="00BF3C55">
      <w:pPr>
        <w:rPr>
          <w:rFonts w:ascii="Century Gothic" w:eastAsia="Times New Roman" w:hAnsi="Century Gothic" w:cs="Times New Roman"/>
          <w:sz w:val="20"/>
          <w:szCs w:val="20"/>
        </w:rPr>
      </w:pPr>
      <w:r>
        <w:rPr>
          <w:rFonts w:ascii="Century Gothic" w:eastAsia="Times New Roman" w:hAnsi="Century Gothic" w:cs="Times New Roman"/>
          <w:sz w:val="20"/>
          <w:szCs w:val="20"/>
        </w:rPr>
        <w:t>Total Sulfur %</w:t>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t>4.0</w:t>
      </w:r>
    </w:p>
    <w:p w:rsidR="00BF3C55" w:rsidRDefault="00BF3C55">
      <w:pPr>
        <w:rPr>
          <w:rFonts w:ascii="Century Gothic" w:eastAsia="Times New Roman" w:hAnsi="Century Gothic" w:cs="Times New Roman"/>
          <w:sz w:val="20"/>
          <w:szCs w:val="20"/>
        </w:rPr>
      </w:pPr>
      <w:r>
        <w:rPr>
          <w:rFonts w:ascii="Century Gothic" w:eastAsia="Times New Roman" w:hAnsi="Century Gothic" w:cs="Times New Roman"/>
          <w:sz w:val="20"/>
          <w:szCs w:val="20"/>
        </w:rPr>
        <w:t>Active Sulfur %</w:t>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t>3.0</w:t>
      </w:r>
    </w:p>
    <w:p w:rsidR="00BF3C55" w:rsidRDefault="00BF3C55">
      <w:pPr>
        <w:rPr>
          <w:rFonts w:ascii="Century Gothic" w:eastAsia="Times New Roman" w:hAnsi="Century Gothic" w:cs="Times New Roman"/>
          <w:sz w:val="20"/>
          <w:szCs w:val="20"/>
        </w:rPr>
      </w:pPr>
      <w:r>
        <w:rPr>
          <w:rFonts w:ascii="Century Gothic" w:eastAsia="Times New Roman" w:hAnsi="Century Gothic" w:cs="Times New Roman"/>
          <w:sz w:val="20"/>
          <w:szCs w:val="20"/>
        </w:rPr>
        <w:t>Fat %</w:t>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t>8.0</w:t>
      </w:r>
    </w:p>
    <w:p w:rsidR="00BF3C55" w:rsidRDefault="00BF3C55">
      <w:pPr>
        <w:rPr>
          <w:rFonts w:ascii="Century Gothic" w:eastAsia="Times New Roman" w:hAnsi="Century Gothic" w:cs="Times New Roman"/>
          <w:sz w:val="20"/>
          <w:szCs w:val="20"/>
        </w:rPr>
      </w:pPr>
      <w:r>
        <w:rPr>
          <w:rFonts w:ascii="Century Gothic" w:eastAsia="Times New Roman" w:hAnsi="Century Gothic" w:cs="Times New Roman"/>
          <w:sz w:val="20"/>
          <w:szCs w:val="20"/>
        </w:rPr>
        <w:t>Phosphorus %</w:t>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t>Trace</w:t>
      </w:r>
    </w:p>
    <w:p w:rsidR="00BF3C55" w:rsidRDefault="00BF3C55">
      <w:pPr>
        <w:rPr>
          <w:rFonts w:ascii="Century Gothic" w:eastAsia="Times New Roman" w:hAnsi="Century Gothic" w:cs="Times New Roman"/>
          <w:sz w:val="20"/>
          <w:szCs w:val="20"/>
        </w:rPr>
      </w:pPr>
      <w:r>
        <w:rPr>
          <w:rFonts w:ascii="Century Gothic" w:eastAsia="Times New Roman" w:hAnsi="Century Gothic" w:cs="Times New Roman"/>
          <w:sz w:val="20"/>
          <w:szCs w:val="20"/>
        </w:rPr>
        <w:t>Chlorine %</w:t>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t>1.8</w:t>
      </w:r>
    </w:p>
    <w:p w:rsidR="00747082" w:rsidRDefault="00747082">
      <w:pPr>
        <w:rPr>
          <w:rFonts w:ascii="Century Gothic" w:eastAsia="Times New Roman" w:hAnsi="Century Gothic" w:cs="Times New Roman"/>
          <w:sz w:val="20"/>
          <w:szCs w:val="20"/>
        </w:rPr>
      </w:pPr>
    </w:p>
    <w:p w:rsidR="00747082" w:rsidRDefault="00747082" w:rsidP="00747082">
      <w:pPr>
        <w:jc w:val="center"/>
      </w:pPr>
      <w:r>
        <w:rPr>
          <w:rFonts w:ascii="Century Gothic" w:eastAsia="Times New Roman" w:hAnsi="Century Gothic" w:cs="Times New Roman"/>
          <w:sz w:val="20"/>
          <w:szCs w:val="20"/>
        </w:rPr>
        <w:t>Visit us at – www.beaconlubricants.com</w:t>
      </w:r>
    </w:p>
    <w:sectPr w:rsidR="0074708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66E" w:rsidRDefault="00747082">
      <w:pPr>
        <w:spacing w:after="0" w:line="240" w:lineRule="auto"/>
      </w:pPr>
      <w:r>
        <w:separator/>
      </w:r>
    </w:p>
  </w:endnote>
  <w:endnote w:type="continuationSeparator" w:id="0">
    <w:p w:rsidR="0096266E" w:rsidRDefault="00747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754843"/>
      <w:docPartObj>
        <w:docPartGallery w:val="Page Numbers (Bottom of Page)"/>
        <w:docPartUnique/>
      </w:docPartObj>
    </w:sdtPr>
    <w:sdtEndPr>
      <w:rPr>
        <w:noProof/>
      </w:rPr>
    </w:sdtEndPr>
    <w:sdtContent>
      <w:p w:rsidR="00652DB8" w:rsidRDefault="00EE6542">
        <w:pPr>
          <w:pStyle w:val="Footer"/>
          <w:jc w:val="center"/>
        </w:pPr>
        <w:r>
          <w:fldChar w:fldCharType="begin"/>
        </w:r>
        <w:r>
          <w:instrText xml:space="preserve"> PAGE   \* MERGEFORMAT </w:instrText>
        </w:r>
        <w:r>
          <w:fldChar w:fldCharType="separate"/>
        </w:r>
        <w:r w:rsidR="00E37F6C">
          <w:rPr>
            <w:noProof/>
          </w:rPr>
          <w:t>1</w:t>
        </w:r>
        <w:r>
          <w:rPr>
            <w:noProof/>
          </w:rPr>
          <w:fldChar w:fldCharType="end"/>
        </w:r>
      </w:p>
    </w:sdtContent>
  </w:sdt>
  <w:p w:rsidR="00652DB8" w:rsidRDefault="00E37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66E" w:rsidRDefault="00747082">
      <w:pPr>
        <w:spacing w:after="0" w:line="240" w:lineRule="auto"/>
      </w:pPr>
      <w:r>
        <w:separator/>
      </w:r>
    </w:p>
  </w:footnote>
  <w:footnote w:type="continuationSeparator" w:id="0">
    <w:p w:rsidR="0096266E" w:rsidRDefault="007470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DB8" w:rsidRDefault="00EE6542">
    <w:pPr>
      <w:pStyle w:val="Header"/>
    </w:pPr>
    <w:r>
      <w:rPr>
        <w:noProof/>
      </w:rPr>
      <w:drawing>
        <wp:inline distT="0" distB="0" distL="0" distR="0" wp14:anchorId="71D0BF6C" wp14:editId="704C86F8">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T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BE"/>
    <w:rsid w:val="00337705"/>
    <w:rsid w:val="00747082"/>
    <w:rsid w:val="0096266E"/>
    <w:rsid w:val="00A34B33"/>
    <w:rsid w:val="00A5185C"/>
    <w:rsid w:val="00BF3C55"/>
    <w:rsid w:val="00C266BE"/>
    <w:rsid w:val="00E37F6C"/>
    <w:rsid w:val="00EE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66BE"/>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66BE"/>
    <w:pPr>
      <w:tabs>
        <w:tab w:val="center" w:pos="4680"/>
        <w:tab w:val="right" w:pos="9360"/>
      </w:tabs>
      <w:overflowPunct w:val="0"/>
      <w:autoSpaceDE w:val="0"/>
      <w:autoSpaceDN w:val="0"/>
      <w:adjustRightInd w:val="0"/>
      <w:spacing w:after="0" w:line="240" w:lineRule="auto"/>
    </w:pPr>
    <w:rPr>
      <w:rFonts w:ascii="Tms Rmn" w:eastAsia="Times New Roman" w:hAnsi="Tms Rmn" w:cs="Times New Roman"/>
      <w:sz w:val="20"/>
      <w:szCs w:val="20"/>
    </w:rPr>
  </w:style>
  <w:style w:type="character" w:customStyle="1" w:styleId="HeaderChar">
    <w:name w:val="Header Char"/>
    <w:basedOn w:val="DefaultParagraphFont"/>
    <w:link w:val="Header"/>
    <w:uiPriority w:val="99"/>
    <w:rsid w:val="00C266BE"/>
    <w:rPr>
      <w:rFonts w:ascii="Tms Rmn" w:eastAsia="Times New Roman" w:hAnsi="Tms Rmn" w:cs="Times New Roman"/>
      <w:sz w:val="20"/>
      <w:szCs w:val="20"/>
    </w:rPr>
  </w:style>
  <w:style w:type="paragraph" w:styleId="Footer">
    <w:name w:val="footer"/>
    <w:basedOn w:val="Normal"/>
    <w:link w:val="FooterChar"/>
    <w:uiPriority w:val="99"/>
    <w:unhideWhenUsed/>
    <w:rsid w:val="00C266BE"/>
    <w:pPr>
      <w:tabs>
        <w:tab w:val="center" w:pos="4680"/>
        <w:tab w:val="right" w:pos="9360"/>
      </w:tabs>
      <w:overflowPunct w:val="0"/>
      <w:autoSpaceDE w:val="0"/>
      <w:autoSpaceDN w:val="0"/>
      <w:adjustRightInd w:val="0"/>
      <w:spacing w:after="0" w:line="240" w:lineRule="auto"/>
    </w:pPr>
    <w:rPr>
      <w:rFonts w:ascii="Tms Rmn" w:eastAsia="Times New Roman" w:hAnsi="Tms Rmn" w:cs="Times New Roman"/>
      <w:sz w:val="20"/>
      <w:szCs w:val="20"/>
    </w:rPr>
  </w:style>
  <w:style w:type="character" w:customStyle="1" w:styleId="FooterChar">
    <w:name w:val="Footer Char"/>
    <w:basedOn w:val="DefaultParagraphFont"/>
    <w:link w:val="Footer"/>
    <w:uiPriority w:val="99"/>
    <w:rsid w:val="00C266BE"/>
    <w:rPr>
      <w:rFonts w:ascii="Tms Rmn" w:eastAsia="Times New Roman" w:hAnsi="Tms Rmn" w:cs="Times New Roman"/>
      <w:sz w:val="20"/>
      <w:szCs w:val="20"/>
    </w:rPr>
  </w:style>
  <w:style w:type="paragraph" w:styleId="BalloonText">
    <w:name w:val="Balloon Text"/>
    <w:basedOn w:val="Normal"/>
    <w:link w:val="BalloonTextChar"/>
    <w:uiPriority w:val="99"/>
    <w:semiHidden/>
    <w:unhideWhenUsed/>
    <w:rsid w:val="00C26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6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66BE"/>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66BE"/>
    <w:pPr>
      <w:tabs>
        <w:tab w:val="center" w:pos="4680"/>
        <w:tab w:val="right" w:pos="9360"/>
      </w:tabs>
      <w:overflowPunct w:val="0"/>
      <w:autoSpaceDE w:val="0"/>
      <w:autoSpaceDN w:val="0"/>
      <w:adjustRightInd w:val="0"/>
      <w:spacing w:after="0" w:line="240" w:lineRule="auto"/>
    </w:pPr>
    <w:rPr>
      <w:rFonts w:ascii="Tms Rmn" w:eastAsia="Times New Roman" w:hAnsi="Tms Rmn" w:cs="Times New Roman"/>
      <w:sz w:val="20"/>
      <w:szCs w:val="20"/>
    </w:rPr>
  </w:style>
  <w:style w:type="character" w:customStyle="1" w:styleId="HeaderChar">
    <w:name w:val="Header Char"/>
    <w:basedOn w:val="DefaultParagraphFont"/>
    <w:link w:val="Header"/>
    <w:uiPriority w:val="99"/>
    <w:rsid w:val="00C266BE"/>
    <w:rPr>
      <w:rFonts w:ascii="Tms Rmn" w:eastAsia="Times New Roman" w:hAnsi="Tms Rmn" w:cs="Times New Roman"/>
      <w:sz w:val="20"/>
      <w:szCs w:val="20"/>
    </w:rPr>
  </w:style>
  <w:style w:type="paragraph" w:styleId="Footer">
    <w:name w:val="footer"/>
    <w:basedOn w:val="Normal"/>
    <w:link w:val="FooterChar"/>
    <w:uiPriority w:val="99"/>
    <w:unhideWhenUsed/>
    <w:rsid w:val="00C266BE"/>
    <w:pPr>
      <w:tabs>
        <w:tab w:val="center" w:pos="4680"/>
        <w:tab w:val="right" w:pos="9360"/>
      </w:tabs>
      <w:overflowPunct w:val="0"/>
      <w:autoSpaceDE w:val="0"/>
      <w:autoSpaceDN w:val="0"/>
      <w:adjustRightInd w:val="0"/>
      <w:spacing w:after="0" w:line="240" w:lineRule="auto"/>
    </w:pPr>
    <w:rPr>
      <w:rFonts w:ascii="Tms Rmn" w:eastAsia="Times New Roman" w:hAnsi="Tms Rmn" w:cs="Times New Roman"/>
      <w:sz w:val="20"/>
      <w:szCs w:val="20"/>
    </w:rPr>
  </w:style>
  <w:style w:type="character" w:customStyle="1" w:styleId="FooterChar">
    <w:name w:val="Footer Char"/>
    <w:basedOn w:val="DefaultParagraphFont"/>
    <w:link w:val="Footer"/>
    <w:uiPriority w:val="99"/>
    <w:rsid w:val="00C266BE"/>
    <w:rPr>
      <w:rFonts w:ascii="Tms Rmn" w:eastAsia="Times New Roman" w:hAnsi="Tms Rmn" w:cs="Times New Roman"/>
      <w:sz w:val="20"/>
      <w:szCs w:val="20"/>
    </w:rPr>
  </w:style>
  <w:style w:type="paragraph" w:styleId="BalloonText">
    <w:name w:val="Balloon Text"/>
    <w:basedOn w:val="Normal"/>
    <w:link w:val="BalloonTextChar"/>
    <w:uiPriority w:val="99"/>
    <w:semiHidden/>
    <w:unhideWhenUsed/>
    <w:rsid w:val="00C26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6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3</cp:revision>
  <dcterms:created xsi:type="dcterms:W3CDTF">2015-09-28T17:47:00Z</dcterms:created>
  <dcterms:modified xsi:type="dcterms:W3CDTF">2017-04-25T13:35:00Z</dcterms:modified>
</cp:coreProperties>
</file>