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2" w:rsidRDefault="00C42312" w:rsidP="00C42312">
      <w:pPr>
        <w:rPr>
          <w:rFonts w:ascii="Century Gothic" w:hAnsi="Century Gothic"/>
          <w:b/>
          <w:color w:val="000000" w:themeColor="text1"/>
        </w:rPr>
      </w:pPr>
    </w:p>
    <w:p w:rsidR="00C42312" w:rsidRDefault="00881A09" w:rsidP="00C4231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Tech Air H1 Oils</w:t>
      </w:r>
    </w:p>
    <w:p w:rsidR="00C42312" w:rsidRPr="00C614B9" w:rsidRDefault="00C42312" w:rsidP="00C4231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C42312" w:rsidRDefault="00881A09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Air H1 Oils are a food grade </w:t>
      </w:r>
      <w:r w:rsidR="00C42312">
        <w:rPr>
          <w:rFonts w:ascii="Century Gothic" w:hAnsi="Century Gothic"/>
          <w:sz w:val="20"/>
          <w:szCs w:val="20"/>
        </w:rPr>
        <w:t xml:space="preserve">premium high performance industrial grade synthetic lubricants developed for lubrication of high demand high output heavy duty rotary screw centrifugal and vane compressors. </w:t>
      </w:r>
      <w:r>
        <w:rPr>
          <w:rFonts w:ascii="Century Gothic" w:hAnsi="Century Gothic"/>
          <w:sz w:val="20"/>
          <w:szCs w:val="20"/>
        </w:rPr>
        <w:t>They are</w:t>
      </w:r>
      <w:r w:rsidR="00C42312">
        <w:rPr>
          <w:rFonts w:ascii="Century Gothic" w:hAnsi="Century Gothic"/>
          <w:sz w:val="20"/>
          <w:szCs w:val="20"/>
        </w:rPr>
        <w:t xml:space="preserve"> also suitable for use in vacuum pump applications as well as high pressure or high speed vane and prevision gear-type hydraulic pumps. Beacon Signal Tech Air </w:t>
      </w:r>
      <w:r w:rsidR="002C402D">
        <w:rPr>
          <w:rFonts w:ascii="Century Gothic" w:hAnsi="Century Gothic"/>
          <w:sz w:val="20"/>
          <w:szCs w:val="20"/>
        </w:rPr>
        <w:t xml:space="preserve">H1 </w:t>
      </w:r>
      <w:r w:rsidR="00C42312">
        <w:rPr>
          <w:rFonts w:ascii="Century Gothic" w:hAnsi="Century Gothic"/>
          <w:sz w:val="20"/>
          <w:szCs w:val="20"/>
        </w:rPr>
        <w:t xml:space="preserve">Oils are manufactured from the highest quality </w:t>
      </w:r>
      <w:r>
        <w:rPr>
          <w:rFonts w:ascii="Century Gothic" w:hAnsi="Century Gothic"/>
          <w:sz w:val="20"/>
          <w:szCs w:val="20"/>
        </w:rPr>
        <w:t xml:space="preserve">food grade </w:t>
      </w:r>
      <w:r w:rsidR="00746313">
        <w:rPr>
          <w:rFonts w:ascii="Century Gothic" w:hAnsi="Century Gothic"/>
          <w:sz w:val="20"/>
          <w:szCs w:val="20"/>
        </w:rPr>
        <w:t xml:space="preserve">base stocks and advanced additive technology providing for outstanding resistance to thermal and oxidative degradation. </w:t>
      </w:r>
      <w:r w:rsidR="00AE4236">
        <w:rPr>
          <w:rFonts w:ascii="Century Gothic" w:hAnsi="Century Gothic"/>
          <w:sz w:val="20"/>
          <w:szCs w:val="20"/>
        </w:rPr>
        <w:t>They are c</w:t>
      </w:r>
      <w:r w:rsidR="00240B51">
        <w:rPr>
          <w:rFonts w:ascii="Century Gothic" w:hAnsi="Century Gothic"/>
          <w:sz w:val="20"/>
          <w:szCs w:val="20"/>
        </w:rPr>
        <w:t xml:space="preserve">haracterized by outstanding rust protection, low deposit formation, excellent </w:t>
      </w:r>
      <w:proofErr w:type="spellStart"/>
      <w:r w:rsidR="00240B51">
        <w:rPr>
          <w:rFonts w:ascii="Century Gothic" w:hAnsi="Century Gothic"/>
          <w:sz w:val="20"/>
          <w:szCs w:val="20"/>
        </w:rPr>
        <w:t>demulsibiity</w:t>
      </w:r>
      <w:proofErr w:type="spellEnd"/>
      <w:r w:rsidR="00240B51">
        <w:rPr>
          <w:rFonts w:ascii="Century Gothic" w:hAnsi="Century Gothic"/>
          <w:sz w:val="20"/>
          <w:szCs w:val="20"/>
        </w:rPr>
        <w:t xml:space="preserve">, low air entrainment, excellent oxidation resistance pour point and excellent anti-foam properties. </w:t>
      </w: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611F23" w:rsidRDefault="00611F23" w:rsidP="00C42312">
      <w:pPr>
        <w:rPr>
          <w:rFonts w:ascii="Century Gothic" w:hAnsi="Century Gothic"/>
          <w:sz w:val="20"/>
          <w:szCs w:val="20"/>
        </w:rPr>
      </w:pPr>
      <w:r w:rsidRPr="00611F23">
        <w:rPr>
          <w:rFonts w:ascii="Century Gothic" w:hAnsi="Century Gothic"/>
          <w:sz w:val="20"/>
          <w:szCs w:val="20"/>
        </w:rPr>
        <w:t>*NSF Registered H1</w:t>
      </w: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oxidation stability, controlling varnish and sludge buildup</w:t>
      </w:r>
      <w:r>
        <w:rPr>
          <w:rFonts w:ascii="Century Gothic" w:hAnsi="Century Gothic"/>
          <w:sz w:val="20"/>
          <w:szCs w:val="20"/>
        </w:rPr>
        <w:br/>
        <w:t xml:space="preserve">*Compatible with commonly used seal materials such as </w:t>
      </w:r>
      <w:proofErr w:type="spellStart"/>
      <w:r>
        <w:rPr>
          <w:rFonts w:ascii="Century Gothic" w:hAnsi="Century Gothic"/>
          <w:sz w:val="20"/>
          <w:szCs w:val="20"/>
        </w:rPr>
        <w:t>buna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viton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881A09" w:rsidRDefault="00881A09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*Meets USDA guidelines</w:t>
      </w:r>
      <w:r w:rsidR="00611F23">
        <w:rPr>
          <w:rFonts w:ascii="Century Gothic" w:hAnsi="Century Gothic"/>
          <w:sz w:val="20"/>
          <w:szCs w:val="20"/>
        </w:rPr>
        <w:t xml:space="preserve"> 1998 (H1) Guidelines (lubricants with incidental food contract)</w:t>
      </w:r>
    </w:p>
    <w:p w:rsidR="00881A09" w:rsidRDefault="00881A09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*Kosher</w:t>
      </w:r>
      <w:r w:rsidR="00611F23">
        <w:rPr>
          <w:rFonts w:ascii="Century Gothic" w:hAnsi="Century Gothic"/>
          <w:sz w:val="20"/>
          <w:szCs w:val="20"/>
        </w:rPr>
        <w:t xml:space="preserve"> Approved</w:t>
      </w:r>
    </w:p>
    <w:p w:rsidR="00881A09" w:rsidRDefault="00467848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*Halal</w:t>
      </w:r>
      <w:r w:rsidR="00611F23">
        <w:rPr>
          <w:rFonts w:ascii="Century Gothic" w:hAnsi="Century Gothic"/>
          <w:sz w:val="20"/>
          <w:szCs w:val="20"/>
        </w:rPr>
        <w:t xml:space="preserve"> Certified </w:t>
      </w:r>
    </w:p>
    <w:p w:rsidR="00C42312" w:rsidRPr="00E17436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:rsidR="00C42312" w:rsidRDefault="00C42312" w:rsidP="00C4231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p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C154D9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42312" w:rsidRPr="00C154D9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154D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ISO Viscosity Grade </w:t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  <w:t>32</w:t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  <w:t>46</w:t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  <w:t>68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220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ASTM D 445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40°C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31.0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45.0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67.0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220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100°C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5.7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7.2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9.8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28.5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ASTM D 2270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126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134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132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169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Corrosion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1A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proofErr w:type="spellStart"/>
      <w:r w:rsidR="00F470CC">
        <w:rPr>
          <w:rFonts w:ascii="Century Gothic" w:hAnsi="Century Gothic"/>
          <w:sz w:val="20"/>
          <w:szCs w:val="20"/>
        </w:rPr>
        <w:t>1A</w:t>
      </w:r>
      <w:proofErr w:type="spellEnd"/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proofErr w:type="spellStart"/>
      <w:r w:rsidR="00F470CC">
        <w:rPr>
          <w:rFonts w:ascii="Century Gothic" w:hAnsi="Century Gothic"/>
          <w:sz w:val="20"/>
          <w:szCs w:val="20"/>
        </w:rPr>
        <w:t>1A</w:t>
      </w:r>
      <w:proofErr w:type="spellEnd"/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</w:r>
      <w:proofErr w:type="spellStart"/>
      <w:r w:rsidR="00BB11DA">
        <w:rPr>
          <w:rFonts w:ascii="Century Gothic" w:hAnsi="Century Gothic"/>
          <w:sz w:val="20"/>
          <w:szCs w:val="20"/>
        </w:rPr>
        <w:t>1A</w:t>
      </w:r>
      <w:proofErr w:type="spellEnd"/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Four-Ball Wear Test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>.</w:t>
      </w:r>
      <w:r w:rsidR="00F470CC">
        <w:rPr>
          <w:rFonts w:ascii="Century Gothic" w:hAnsi="Century Gothic"/>
          <w:sz w:val="20"/>
          <w:szCs w:val="20"/>
        </w:rPr>
        <w:t>45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.45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.45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.45</w:t>
      </w:r>
    </w:p>
    <w:p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Foaming ASTM D892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NIL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proofErr w:type="spellStart"/>
      <w:r w:rsidR="00F470CC">
        <w:rPr>
          <w:rFonts w:ascii="Century Gothic" w:hAnsi="Century Gothic"/>
          <w:sz w:val="20"/>
          <w:szCs w:val="20"/>
        </w:rPr>
        <w:t>NIL</w:t>
      </w:r>
      <w:proofErr w:type="spellEnd"/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proofErr w:type="spellStart"/>
      <w:r w:rsidR="00F470CC">
        <w:rPr>
          <w:rFonts w:ascii="Century Gothic" w:hAnsi="Century Gothic"/>
          <w:sz w:val="20"/>
          <w:szCs w:val="20"/>
        </w:rPr>
        <w:t>NIL</w:t>
      </w:r>
      <w:proofErr w:type="spellEnd"/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</w:r>
      <w:proofErr w:type="spellStart"/>
      <w:r w:rsidR="00BB11DA">
        <w:rPr>
          <w:rFonts w:ascii="Century Gothic" w:hAnsi="Century Gothic"/>
          <w:sz w:val="20"/>
          <w:szCs w:val="20"/>
        </w:rPr>
        <w:t>NIL</w:t>
      </w:r>
      <w:proofErr w:type="spellEnd"/>
    </w:p>
    <w:p w:rsidR="00F470CC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</w:t>
      </w:r>
      <w:r w:rsidR="00F470CC">
        <w:rPr>
          <w:rFonts w:ascii="Century Gothic" w:hAnsi="Century Gothic"/>
          <w:sz w:val="20"/>
          <w:szCs w:val="20"/>
        </w:rPr>
        <w:t>C ASTM D9</w:t>
      </w:r>
      <w:r w:rsidR="00BB11DA">
        <w:rPr>
          <w:rFonts w:ascii="Century Gothic" w:hAnsi="Century Gothic"/>
          <w:sz w:val="20"/>
          <w:szCs w:val="20"/>
        </w:rPr>
        <w:t>2</w:t>
      </w:r>
      <w:bookmarkStart w:id="0" w:name="_GoBack"/>
      <w:bookmarkEnd w:id="0"/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244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260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  <w:t>270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232</w:t>
      </w:r>
    </w:p>
    <w:p w:rsidR="00F470CC" w:rsidRDefault="00F47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 Point, </w:t>
      </w:r>
      <w:r>
        <w:rPr>
          <w:rFonts w:ascii="Vrinda" w:hAnsi="Vrinda" w:cs="Vrinda"/>
          <w:sz w:val="20"/>
          <w:szCs w:val="20"/>
        </w:rPr>
        <w:t xml:space="preserve">°C </w:t>
      </w:r>
      <w:r>
        <w:rPr>
          <w:rFonts w:ascii="Century Gothic" w:hAnsi="Century Gothic"/>
          <w:sz w:val="20"/>
          <w:szCs w:val="20"/>
        </w:rPr>
        <w:t>ASTM D97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-45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-45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-45</w:t>
      </w:r>
      <w:r w:rsidR="00BB11DA">
        <w:rPr>
          <w:rFonts w:ascii="Century Gothic" w:hAnsi="Century Gothic"/>
          <w:sz w:val="20"/>
          <w:szCs w:val="20"/>
        </w:rPr>
        <w:tab/>
      </w:r>
      <w:r w:rsidR="00BB11DA">
        <w:rPr>
          <w:rFonts w:ascii="Century Gothic" w:hAnsi="Century Gothic"/>
          <w:sz w:val="20"/>
          <w:szCs w:val="20"/>
        </w:rPr>
        <w:tab/>
        <w:t>-42</w:t>
      </w:r>
    </w:p>
    <w:p w:rsidR="00BE1F9F" w:rsidRDefault="00BE1F9F">
      <w:pPr>
        <w:rPr>
          <w:rFonts w:ascii="Century Gothic" w:hAnsi="Century Gothic"/>
          <w:sz w:val="20"/>
          <w:szCs w:val="20"/>
        </w:rPr>
      </w:pPr>
    </w:p>
    <w:p w:rsidR="00BE1F9F" w:rsidRDefault="00BE1F9F">
      <w:pPr>
        <w:rPr>
          <w:rFonts w:ascii="Century Gothic" w:hAnsi="Century Gothic"/>
          <w:sz w:val="20"/>
          <w:szCs w:val="20"/>
        </w:rPr>
      </w:pPr>
    </w:p>
    <w:p w:rsidR="00220B6A" w:rsidRPr="00220B6A" w:rsidRDefault="00220B6A" w:rsidP="00BE1F9F">
      <w:pPr>
        <w:jc w:val="center"/>
        <w:rPr>
          <w:rFonts w:ascii="Century Gothic" w:hAnsi="Century Gothic"/>
          <w:sz w:val="20"/>
          <w:szCs w:val="20"/>
        </w:rPr>
      </w:pPr>
      <w:r w:rsidRPr="00220B6A">
        <w:rPr>
          <w:rFonts w:ascii="Century Gothic" w:hAnsi="Century Gothic"/>
          <w:sz w:val="20"/>
          <w:szCs w:val="20"/>
        </w:rPr>
        <w:t>Visit us at – www.beaconlubricants.com</w:t>
      </w:r>
    </w:p>
    <w:sectPr w:rsidR="00220B6A" w:rsidRPr="00220B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43" w:rsidRDefault="00713543" w:rsidP="00C42312">
      <w:r>
        <w:separator/>
      </w:r>
    </w:p>
  </w:endnote>
  <w:endnote w:type="continuationSeparator" w:id="0">
    <w:p w:rsidR="00713543" w:rsidRDefault="00713543" w:rsidP="00C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43" w:rsidRDefault="00713543" w:rsidP="00C42312">
      <w:r>
        <w:separator/>
      </w:r>
    </w:p>
  </w:footnote>
  <w:footnote w:type="continuationSeparator" w:id="0">
    <w:p w:rsidR="00713543" w:rsidRDefault="00713543" w:rsidP="00C4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12" w:rsidRDefault="00001F5D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2"/>
    <w:rsid w:val="00001F5D"/>
    <w:rsid w:val="000665DF"/>
    <w:rsid w:val="00220B6A"/>
    <w:rsid w:val="00240B51"/>
    <w:rsid w:val="002C402D"/>
    <w:rsid w:val="00467848"/>
    <w:rsid w:val="00611F23"/>
    <w:rsid w:val="00713543"/>
    <w:rsid w:val="00746313"/>
    <w:rsid w:val="00796D9B"/>
    <w:rsid w:val="00881A09"/>
    <w:rsid w:val="009C11C0"/>
    <w:rsid w:val="00A316A7"/>
    <w:rsid w:val="00AE4236"/>
    <w:rsid w:val="00AF72D9"/>
    <w:rsid w:val="00BB11DA"/>
    <w:rsid w:val="00BE1F9F"/>
    <w:rsid w:val="00C42312"/>
    <w:rsid w:val="00E1571E"/>
    <w:rsid w:val="00F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4</cp:revision>
  <cp:lastPrinted>2018-02-28T13:51:00Z</cp:lastPrinted>
  <dcterms:created xsi:type="dcterms:W3CDTF">2016-10-25T17:01:00Z</dcterms:created>
  <dcterms:modified xsi:type="dcterms:W3CDTF">2018-02-28T14:01:00Z</dcterms:modified>
</cp:coreProperties>
</file>