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5" w:rsidRDefault="00320D65" w:rsidP="00320D65">
      <w:pPr>
        <w:rPr>
          <w:rFonts w:ascii="Century Gothic" w:hAnsi="Century Gothic"/>
          <w:b/>
        </w:rPr>
      </w:pPr>
    </w:p>
    <w:p w:rsidR="00320D65" w:rsidRPr="00BF4C2E" w:rsidRDefault="00320D65" w:rsidP="005D1903">
      <w:pPr>
        <w:pStyle w:val="NoSpacing"/>
        <w:rPr>
          <w:rFonts w:ascii="Century Gothic" w:hAnsi="Century Gothic"/>
          <w:b/>
        </w:rPr>
      </w:pPr>
      <w:r w:rsidRPr="00BF4C2E">
        <w:rPr>
          <w:rFonts w:ascii="Century Gothic" w:hAnsi="Century Gothic"/>
          <w:b/>
        </w:rPr>
        <w:t>Beacon Signal Tech Gear Oils</w:t>
      </w:r>
    </w:p>
    <w:p w:rsidR="00320D65" w:rsidRPr="005D1903" w:rsidRDefault="00320D65" w:rsidP="005D1903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20D65" w:rsidRPr="005D1903" w:rsidTr="000133D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20D65" w:rsidRPr="005D1903" w:rsidRDefault="00320D65" w:rsidP="005D190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D190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320D65" w:rsidRPr="005D1903" w:rsidRDefault="00320D65" w:rsidP="005D1903">
      <w:pPr>
        <w:pStyle w:val="NoSpacing"/>
        <w:rPr>
          <w:rFonts w:ascii="Century Gothic" w:hAnsi="Century Gothic"/>
          <w:sz w:val="20"/>
          <w:szCs w:val="20"/>
        </w:rPr>
      </w:pPr>
    </w:p>
    <w:p w:rsidR="00320D65" w:rsidRPr="005D1903" w:rsidRDefault="00320D65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 xml:space="preserve">Beacon Signal Tech Gear Oils, 75W-90 &amp; 80W-140 are superior quality extended life synthetic drivetrain lubricants designed to meet the most demanding on and off road applications while meeting all extended warranty requirements. </w:t>
      </w:r>
    </w:p>
    <w:p w:rsidR="00320D65" w:rsidRPr="005D1903" w:rsidRDefault="00320D65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 xml:space="preserve">They are designed for use in heavy-duty drivetrain systems by providing for excellent lubricants, extreme pressure protection while maintain proper viscosity in all types of climates. </w:t>
      </w:r>
      <w:r w:rsidR="005D1903">
        <w:rPr>
          <w:rFonts w:ascii="Century Gothic" w:hAnsi="Century Gothic"/>
          <w:sz w:val="20"/>
          <w:szCs w:val="20"/>
        </w:rPr>
        <w:br/>
      </w:r>
      <w:r w:rsidRPr="005D1903">
        <w:rPr>
          <w:rFonts w:ascii="Century Gothic" w:hAnsi="Century Gothic"/>
          <w:sz w:val="20"/>
          <w:szCs w:val="20"/>
        </w:rPr>
        <w:t xml:space="preserve">Beacon Signal Tech Gear Oils are formulated with the latest state of the art synthesized base stocks and most advanced additive componentry </w:t>
      </w:r>
      <w:r w:rsidR="00155F09" w:rsidRPr="005D1903">
        <w:rPr>
          <w:rFonts w:ascii="Century Gothic" w:hAnsi="Century Gothic"/>
          <w:sz w:val="20"/>
          <w:szCs w:val="20"/>
        </w:rPr>
        <w:t xml:space="preserve">to provide excellent thermal and oxidative stability, tenacious shear stability while providing for extended drain intervals and maintaining the necessary friction modification to provide excellent fuel economy.  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155F09" w:rsidRPr="005D1903" w:rsidTr="000133D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155F09" w:rsidRPr="005D1903" w:rsidRDefault="00155F09" w:rsidP="005D190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D190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&amp; Advantages</w:t>
            </w:r>
          </w:p>
        </w:tc>
      </w:tr>
    </w:tbl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 xml:space="preserve">*Excellent thermal and oxidation stability 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 xml:space="preserve">*High viscosity index and low pour point 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 xml:space="preserve">*Excellent seal compatibility </w:t>
      </w:r>
    </w:p>
    <w:p w:rsidR="00320D65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 xml:space="preserve">*Enhanced friction reducing capabilities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20D65" w:rsidRPr="005D1903" w:rsidTr="000133D2">
        <w:tc>
          <w:tcPr>
            <w:tcW w:w="9360" w:type="dxa"/>
            <w:shd w:val="clear" w:color="auto" w:fill="FF0000"/>
            <w:hideMark/>
          </w:tcPr>
          <w:p w:rsidR="00320D65" w:rsidRPr="005D1903" w:rsidRDefault="00320D65" w:rsidP="005D190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D190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</w:p>
        </w:tc>
      </w:tr>
    </w:tbl>
    <w:p w:rsidR="00320D65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SAE J2360</w:t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  <w:t>MIL-PRF 2105E</w:t>
      </w:r>
    </w:p>
    <w:p w:rsidR="00155F09" w:rsidRPr="005D1903" w:rsidRDefault="00656B5C" w:rsidP="005D190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API GL-4 &amp; API GL-5</w:t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EE3F48">
        <w:rPr>
          <w:rFonts w:ascii="Century Gothic" w:hAnsi="Century Gothic"/>
          <w:sz w:val="20"/>
          <w:szCs w:val="20"/>
        </w:rPr>
        <w:t>Dana SHAES 429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Mack CO-G/S, GO-H/S, GO-J</w:t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  <w:t>DANA SHAES 256 Rev. C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Mil-PRF-2105E</w:t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  <w:t>International TMS-6816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Eaton</w:t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  <w:t>ZF TE-ML 05B/16F/21B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Arvin Meritor 076-R</w:t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  <w:t xml:space="preserve">MAN 342 </w:t>
      </w:r>
      <w:proofErr w:type="spellStart"/>
      <w:r w:rsidR="00EE3F48">
        <w:rPr>
          <w:rFonts w:ascii="Century Gothic" w:hAnsi="Century Gothic"/>
          <w:sz w:val="20"/>
          <w:szCs w:val="20"/>
        </w:rPr>
        <w:t>Typ</w:t>
      </w:r>
      <w:proofErr w:type="spellEnd"/>
      <w:r w:rsidR="00EE3F48">
        <w:rPr>
          <w:rFonts w:ascii="Century Gothic" w:hAnsi="Century Gothic"/>
          <w:sz w:val="20"/>
          <w:szCs w:val="20"/>
        </w:rPr>
        <w:t xml:space="preserve"> M2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Extreme pressure (EP) performance</w:t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0F5C3C">
        <w:rPr>
          <w:rFonts w:ascii="Century Gothic" w:hAnsi="Century Gothic"/>
          <w:sz w:val="20"/>
          <w:szCs w:val="20"/>
        </w:rPr>
        <w:tab/>
      </w:r>
      <w:r w:rsidR="000F5C3C">
        <w:rPr>
          <w:rFonts w:ascii="Century Gothic" w:hAnsi="Century Gothic"/>
          <w:sz w:val="20"/>
          <w:szCs w:val="20"/>
        </w:rPr>
        <w:tab/>
      </w:r>
      <w:proofErr w:type="spellStart"/>
      <w:r w:rsidR="00EE3F48">
        <w:rPr>
          <w:rFonts w:ascii="Century Gothic" w:hAnsi="Century Gothic"/>
          <w:sz w:val="20"/>
          <w:szCs w:val="20"/>
        </w:rPr>
        <w:t>Voith</w:t>
      </w:r>
      <w:proofErr w:type="spellEnd"/>
      <w:r w:rsidR="00EE3F4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E3F48">
        <w:rPr>
          <w:rFonts w:ascii="Century Gothic" w:hAnsi="Century Gothic"/>
          <w:sz w:val="20"/>
          <w:szCs w:val="20"/>
        </w:rPr>
        <w:t>Tubro</w:t>
      </w:r>
      <w:proofErr w:type="spellEnd"/>
      <w:r w:rsidR="00EE3F48">
        <w:rPr>
          <w:rFonts w:ascii="Century Gothic" w:hAnsi="Century Gothic"/>
          <w:sz w:val="20"/>
          <w:szCs w:val="20"/>
        </w:rPr>
        <w:t xml:space="preserve"> 132.00374402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Heavy duty truck rear axles</w:t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</w:r>
      <w:proofErr w:type="spellStart"/>
      <w:r w:rsidR="00EE3F48">
        <w:rPr>
          <w:rFonts w:ascii="Century Gothic" w:hAnsi="Century Gothic"/>
          <w:sz w:val="20"/>
          <w:szCs w:val="20"/>
        </w:rPr>
        <w:t>Flender</w:t>
      </w:r>
      <w:proofErr w:type="spellEnd"/>
      <w:r w:rsidR="00EE3F48">
        <w:rPr>
          <w:rFonts w:ascii="Century Gothic" w:hAnsi="Century Gothic"/>
          <w:sz w:val="20"/>
          <w:szCs w:val="20"/>
        </w:rPr>
        <w:t xml:space="preserve"> BA 7302 Table R1</w:t>
      </w:r>
    </w:p>
    <w:p w:rsidR="00155F09" w:rsidRPr="005D1903" w:rsidRDefault="00155F09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Domestic automobile rear</w:t>
      </w:r>
      <w:r w:rsidR="005D1903">
        <w:rPr>
          <w:rFonts w:ascii="Century Gothic" w:hAnsi="Century Gothic"/>
          <w:sz w:val="20"/>
          <w:szCs w:val="20"/>
        </w:rPr>
        <w:t xml:space="preserve"> axles and manual transmissions</w:t>
      </w:r>
      <w:r w:rsidR="00EE3F48">
        <w:rPr>
          <w:rFonts w:ascii="Century Gothic" w:hAnsi="Century Gothic"/>
          <w:sz w:val="20"/>
          <w:szCs w:val="20"/>
        </w:rPr>
        <w:tab/>
      </w:r>
      <w:r w:rsidR="00EE3F48">
        <w:rPr>
          <w:rFonts w:ascii="Century Gothic" w:hAnsi="Century Gothic"/>
          <w:sz w:val="20"/>
          <w:szCs w:val="20"/>
        </w:rPr>
        <w:tab/>
        <w:t>Scania STO 2:0 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20D65" w:rsidRPr="005D1903" w:rsidTr="000133D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20D65" w:rsidRPr="005D1903" w:rsidRDefault="00320D65" w:rsidP="005D190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D190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Characteristics:</w:t>
            </w:r>
          </w:p>
        </w:tc>
      </w:tr>
    </w:tbl>
    <w:p w:rsidR="00E67E35" w:rsidRPr="005D1903" w:rsidRDefault="005D1903" w:rsidP="005D190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D1903">
        <w:rPr>
          <w:rFonts w:ascii="Century Gothic" w:hAnsi="Century Gothic"/>
          <w:b/>
          <w:sz w:val="20"/>
          <w:szCs w:val="20"/>
          <w:u w:val="single"/>
        </w:rPr>
        <w:t>75W-90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Pr="005D1903">
        <w:rPr>
          <w:rFonts w:ascii="Century Gothic" w:hAnsi="Century Gothic"/>
          <w:b/>
          <w:sz w:val="20"/>
          <w:szCs w:val="20"/>
          <w:u w:val="single"/>
        </w:rPr>
        <w:t>80W-140</w:t>
      </w:r>
    </w:p>
    <w:p w:rsidR="00155F09" w:rsidRPr="005D1903" w:rsidRDefault="0097005A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Viscosity, ASTM D 445</w:t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</w:p>
    <w:p w:rsidR="0097005A" w:rsidRPr="005D1903" w:rsidRDefault="0097005A" w:rsidP="005D1903">
      <w:pPr>
        <w:pStyle w:val="NoSpacing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5D1903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5D1903">
        <w:rPr>
          <w:rFonts w:ascii="Century Gothic" w:hAnsi="Century Gothic"/>
          <w:sz w:val="20"/>
          <w:szCs w:val="20"/>
        </w:rPr>
        <w:t xml:space="preserve"> @ 40°C</w:t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  <w:t>120</w:t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>248</w:t>
      </w:r>
    </w:p>
    <w:p w:rsidR="0097005A" w:rsidRPr="005D1903" w:rsidRDefault="0097005A" w:rsidP="005D1903">
      <w:pPr>
        <w:pStyle w:val="NoSpacing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5D1903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5D1903">
        <w:rPr>
          <w:rFonts w:ascii="Century Gothic" w:hAnsi="Century Gothic"/>
          <w:sz w:val="20"/>
          <w:szCs w:val="20"/>
        </w:rPr>
        <w:t xml:space="preserve"> @ 100°C</w:t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  <w:t>16.5</w:t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>28</w:t>
      </w:r>
    </w:p>
    <w:p w:rsidR="0097005A" w:rsidRPr="005D1903" w:rsidRDefault="0097005A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Viscosity Index, ASTM D 2270</w:t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ab/>
        <w:t>148</w:t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CE1279">
        <w:rPr>
          <w:rFonts w:ascii="Century Gothic" w:hAnsi="Century Gothic"/>
          <w:sz w:val="20"/>
          <w:szCs w:val="20"/>
        </w:rPr>
        <w:t>148</w:t>
      </w:r>
    </w:p>
    <w:p w:rsidR="0097005A" w:rsidRPr="005D1903" w:rsidRDefault="0097005A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Pour Point, °C, ASTM D 97</w:t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  <w:t>-49</w:t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>-38</w:t>
      </w:r>
    </w:p>
    <w:p w:rsidR="0097005A" w:rsidRPr="005D1903" w:rsidRDefault="0097005A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Flash Point, °C, ASTM D 92</w:t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5D1903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>210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214</w:t>
      </w:r>
    </w:p>
    <w:p w:rsidR="0097005A" w:rsidRPr="005D1903" w:rsidRDefault="0097005A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Density @ 15°C kg/l, ASTM D 4052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0.860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0.870</w:t>
      </w:r>
    </w:p>
    <w:p w:rsidR="0097005A" w:rsidRPr="005D1903" w:rsidRDefault="0097005A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Channel Point, °C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 xml:space="preserve">             Below -70 (94)</w:t>
      </w:r>
    </w:p>
    <w:p w:rsidR="006D5B3F" w:rsidRDefault="0097005A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L-33 (7 Day Moisture Corrosion)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Pass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proofErr w:type="spellStart"/>
      <w:r w:rsidR="006D5B3F">
        <w:rPr>
          <w:rFonts w:ascii="Century Gothic" w:hAnsi="Century Gothic"/>
          <w:sz w:val="20"/>
          <w:szCs w:val="20"/>
        </w:rPr>
        <w:t>Pass</w:t>
      </w:r>
      <w:proofErr w:type="spellEnd"/>
    </w:p>
    <w:p w:rsidR="0097005A" w:rsidRPr="005D1903" w:rsidRDefault="006D5B3F" w:rsidP="005D190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Cover Plate, % Rust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&lt;1% Corrosion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&lt;1% Corrosion</w:t>
      </w:r>
      <w:r>
        <w:rPr>
          <w:rFonts w:ascii="Century Gothic" w:hAnsi="Century Gothic"/>
          <w:sz w:val="20"/>
          <w:szCs w:val="20"/>
        </w:rPr>
        <w:tab/>
      </w:r>
    </w:p>
    <w:p w:rsidR="005D1903" w:rsidRPr="005D1903" w:rsidRDefault="005D1903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L-37 (High Torque)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Pass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proofErr w:type="spellStart"/>
      <w:r w:rsidR="006D5B3F">
        <w:rPr>
          <w:rFonts w:ascii="Century Gothic" w:hAnsi="Century Gothic"/>
          <w:sz w:val="20"/>
          <w:szCs w:val="20"/>
        </w:rPr>
        <w:t>Pass</w:t>
      </w:r>
      <w:proofErr w:type="spellEnd"/>
    </w:p>
    <w:p w:rsidR="005D1903" w:rsidRPr="005D1903" w:rsidRDefault="005D1903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L-42 (High Speed)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Pass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proofErr w:type="spellStart"/>
      <w:r w:rsidR="006D5B3F">
        <w:rPr>
          <w:rFonts w:ascii="Century Gothic" w:hAnsi="Century Gothic"/>
          <w:sz w:val="20"/>
          <w:szCs w:val="20"/>
        </w:rPr>
        <w:t>Pass</w:t>
      </w:r>
      <w:proofErr w:type="spellEnd"/>
    </w:p>
    <w:p w:rsidR="005D1903" w:rsidRPr="005D1903" w:rsidRDefault="005D1903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L-60 (Thermal Stability)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Pass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proofErr w:type="spellStart"/>
      <w:r w:rsidR="006D5B3F">
        <w:rPr>
          <w:rFonts w:ascii="Century Gothic" w:hAnsi="Century Gothic"/>
          <w:sz w:val="20"/>
          <w:szCs w:val="20"/>
        </w:rPr>
        <w:t>Pass</w:t>
      </w:r>
      <w:proofErr w:type="spellEnd"/>
    </w:p>
    <w:p w:rsidR="005D1903" w:rsidRPr="005D1903" w:rsidRDefault="005D1903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ASTM D-982 Foam Test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Pass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proofErr w:type="spellStart"/>
      <w:r w:rsidR="006D5B3F">
        <w:rPr>
          <w:rFonts w:ascii="Century Gothic" w:hAnsi="Century Gothic"/>
          <w:sz w:val="20"/>
          <w:szCs w:val="20"/>
        </w:rPr>
        <w:t>Pass</w:t>
      </w:r>
      <w:proofErr w:type="spellEnd"/>
    </w:p>
    <w:p w:rsidR="005D1903" w:rsidRPr="005D1903" w:rsidRDefault="005D1903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ASTM D-130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Pass, 1b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Pass 1b</w:t>
      </w:r>
    </w:p>
    <w:p w:rsidR="005D1903" w:rsidRPr="005D1903" w:rsidRDefault="005D1903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>FTM 3440 (Stability/Compatibly)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  <w:t>Pass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proofErr w:type="spellStart"/>
      <w:r w:rsidR="006D5B3F">
        <w:rPr>
          <w:rFonts w:ascii="Century Gothic" w:hAnsi="Century Gothic"/>
          <w:sz w:val="20"/>
          <w:szCs w:val="20"/>
        </w:rPr>
        <w:t>Pass</w:t>
      </w:r>
      <w:proofErr w:type="spellEnd"/>
    </w:p>
    <w:p w:rsidR="005D1903" w:rsidRPr="005D1903" w:rsidRDefault="005D1903" w:rsidP="005D1903">
      <w:pPr>
        <w:pStyle w:val="NoSpacing"/>
        <w:rPr>
          <w:rFonts w:ascii="Century Gothic" w:hAnsi="Century Gothic"/>
          <w:sz w:val="20"/>
          <w:szCs w:val="20"/>
        </w:rPr>
      </w:pPr>
      <w:r w:rsidRPr="005D1903">
        <w:rPr>
          <w:rFonts w:ascii="Century Gothic" w:hAnsi="Century Gothic"/>
          <w:sz w:val="20"/>
          <w:szCs w:val="20"/>
        </w:rPr>
        <w:t xml:space="preserve">Timken OK Load, </w:t>
      </w:r>
      <w:proofErr w:type="spellStart"/>
      <w:r w:rsidRPr="005D1903">
        <w:rPr>
          <w:rFonts w:ascii="Century Gothic" w:hAnsi="Century Gothic"/>
          <w:sz w:val="20"/>
          <w:szCs w:val="20"/>
        </w:rPr>
        <w:t>lb</w:t>
      </w:r>
      <w:proofErr w:type="spellEnd"/>
      <w:r w:rsidRPr="005D1903">
        <w:rPr>
          <w:rFonts w:ascii="Century Gothic" w:hAnsi="Century Gothic"/>
          <w:sz w:val="20"/>
          <w:szCs w:val="20"/>
        </w:rPr>
        <w:t xml:space="preserve"> </w:t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6D5B3F">
        <w:rPr>
          <w:rFonts w:ascii="Century Gothic" w:hAnsi="Century Gothic"/>
          <w:sz w:val="20"/>
          <w:szCs w:val="20"/>
        </w:rPr>
        <w:tab/>
      </w:r>
      <w:r w:rsidR="000F5C3C">
        <w:rPr>
          <w:rFonts w:ascii="Century Gothic" w:hAnsi="Century Gothic"/>
          <w:sz w:val="20"/>
          <w:szCs w:val="20"/>
        </w:rPr>
        <w:t>65</w:t>
      </w:r>
      <w:r w:rsidR="000F5C3C">
        <w:rPr>
          <w:rFonts w:ascii="Century Gothic" w:hAnsi="Century Gothic"/>
          <w:sz w:val="20"/>
          <w:szCs w:val="20"/>
        </w:rPr>
        <w:tab/>
      </w:r>
      <w:r w:rsidR="000F5C3C">
        <w:rPr>
          <w:rFonts w:ascii="Century Gothic" w:hAnsi="Century Gothic"/>
          <w:sz w:val="20"/>
          <w:szCs w:val="20"/>
        </w:rPr>
        <w:tab/>
      </w:r>
      <w:r w:rsidR="000F5C3C">
        <w:rPr>
          <w:rFonts w:ascii="Century Gothic" w:hAnsi="Century Gothic"/>
          <w:sz w:val="20"/>
          <w:szCs w:val="20"/>
        </w:rPr>
        <w:tab/>
        <w:t>70</w:t>
      </w:r>
    </w:p>
    <w:sectPr w:rsidR="005D1903" w:rsidRPr="005D19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42" w:rsidRDefault="00925F42" w:rsidP="00320D65">
      <w:r>
        <w:separator/>
      </w:r>
    </w:p>
  </w:endnote>
  <w:endnote w:type="continuationSeparator" w:id="0">
    <w:p w:rsidR="00925F42" w:rsidRDefault="00925F42" w:rsidP="003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42" w:rsidRDefault="00925F42" w:rsidP="00320D65">
      <w:r>
        <w:separator/>
      </w:r>
    </w:p>
  </w:footnote>
  <w:footnote w:type="continuationSeparator" w:id="0">
    <w:p w:rsidR="00925F42" w:rsidRDefault="00925F42" w:rsidP="0032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65" w:rsidRDefault="00DE274D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65"/>
    <w:rsid w:val="000133D2"/>
    <w:rsid w:val="000F5C3C"/>
    <w:rsid w:val="00155F09"/>
    <w:rsid w:val="00320D65"/>
    <w:rsid w:val="005A3CFC"/>
    <w:rsid w:val="005D1903"/>
    <w:rsid w:val="00656B5C"/>
    <w:rsid w:val="006D5B3F"/>
    <w:rsid w:val="00925F42"/>
    <w:rsid w:val="0097005A"/>
    <w:rsid w:val="00BF4C2E"/>
    <w:rsid w:val="00CE1279"/>
    <w:rsid w:val="00DE274D"/>
    <w:rsid w:val="00E67E35"/>
    <w:rsid w:val="00E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D6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D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D6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6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5D1903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D6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D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D6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6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5D1903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12</cp:revision>
  <cp:lastPrinted>2015-04-22T13:41:00Z</cp:lastPrinted>
  <dcterms:created xsi:type="dcterms:W3CDTF">2015-04-22T12:26:00Z</dcterms:created>
  <dcterms:modified xsi:type="dcterms:W3CDTF">2017-06-23T13:32:00Z</dcterms:modified>
</cp:coreProperties>
</file>