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6724" w14:textId="77777777"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7E32C39D" w14:textId="3F4E8C94" w:rsidR="003F4B15" w:rsidRPr="00BD5943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Antifreeze EXL </w:t>
      </w:r>
      <w:r w:rsidR="007A0CAD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Red</w:t>
      </w:r>
    </w:p>
    <w:p w14:paraId="7C8761AE" w14:textId="77777777"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14:paraId="5DDD7AAF" w14:textId="77777777" w:rsidTr="009946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0BB55F5" w14:textId="77777777"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14B86DF5" w14:textId="77777777"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25F1671" w14:textId="3E000A04" w:rsidR="003F4B15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Beacon Antifreeze EXL </w:t>
      </w:r>
      <w:r w:rsidR="007A0CAD">
        <w:rPr>
          <w:rFonts w:ascii="Century Gothic" w:eastAsiaTheme="minorEastAsia" w:hAnsi="Century Gothic"/>
          <w:sz w:val="20"/>
          <w:szCs w:val="20"/>
        </w:rPr>
        <w:t>Red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is a commercial grade; extended life, SCA inhibited ethylene glycol based heavy duty diesel engine c</w:t>
      </w:r>
      <w:r w:rsidR="000D4034">
        <w:rPr>
          <w:rFonts w:ascii="Century Gothic" w:eastAsiaTheme="minorEastAsia" w:hAnsi="Century Gothic"/>
          <w:sz w:val="20"/>
          <w:szCs w:val="20"/>
        </w:rPr>
        <w:t xml:space="preserve">oolant/Antifreeze. </w:t>
      </w:r>
    </w:p>
    <w:p w14:paraId="14EC96A4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35BBDCA" w14:textId="13CA6FD8" w:rsidR="003F4B15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Beacon Antifreeze EXL </w:t>
      </w:r>
      <w:r w:rsidR="007A0CAD">
        <w:rPr>
          <w:rFonts w:ascii="Century Gothic" w:eastAsiaTheme="minorEastAsia" w:hAnsi="Century Gothic"/>
          <w:sz w:val="20"/>
          <w:szCs w:val="20"/>
        </w:rPr>
        <w:t>Red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is formulated to provide optimum protection in all </w:t>
      </w:r>
      <w:proofErr w:type="gramStart"/>
      <w:r w:rsidR="003F4B15">
        <w:rPr>
          <w:rFonts w:ascii="Century Gothic" w:eastAsiaTheme="minorEastAsia" w:hAnsi="Century Gothic"/>
          <w:sz w:val="20"/>
          <w:szCs w:val="20"/>
        </w:rPr>
        <w:t>heavy duty</w:t>
      </w:r>
      <w:proofErr w:type="gramEnd"/>
      <w:r w:rsidR="003F4B15">
        <w:rPr>
          <w:rFonts w:ascii="Century Gothic" w:eastAsiaTheme="minorEastAsia" w:hAnsi="Century Gothic"/>
          <w:sz w:val="20"/>
          <w:szCs w:val="20"/>
        </w:rPr>
        <w:t xml:space="preserve"> cooling systems in all types of climates and conditio</w:t>
      </w:r>
      <w:r>
        <w:rPr>
          <w:rFonts w:ascii="Century Gothic" w:eastAsiaTheme="minorEastAsia" w:hAnsi="Century Gothic"/>
          <w:sz w:val="20"/>
          <w:szCs w:val="20"/>
        </w:rPr>
        <w:t>ns. Beacon Antifreeze EXL Clear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offers superior protection against overheating, freezing, corrosion, scale, and cavitation of critical pumps. </w:t>
      </w:r>
    </w:p>
    <w:p w14:paraId="018CBF4F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F93F3C6" w14:textId="6B09D642" w:rsidR="003F4B15" w:rsidRPr="00BD5943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Beacon Antifreeze EXL </w:t>
      </w:r>
      <w:r w:rsidR="007A0CAD">
        <w:rPr>
          <w:rFonts w:ascii="Century Gothic" w:eastAsiaTheme="minorEastAsia" w:hAnsi="Century Gothic"/>
          <w:sz w:val="20"/>
          <w:szCs w:val="20"/>
        </w:rPr>
        <w:t>Red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is a phosphate free, low silicate universal formulation for use in heavy duty diesel as well as automotive systems.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14:paraId="04DB7017" w14:textId="77777777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9FB9DA4" w14:textId="77777777"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14:paraId="7167D381" w14:textId="77777777" w:rsidR="003F4B15" w:rsidRDefault="000D4034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*Provides freeze-up protection to -34</w:t>
      </w:r>
      <w:r w:rsidR="00A30DB4">
        <w:rPr>
          <w:rFonts w:ascii="Century Gothic" w:eastAsiaTheme="minorEastAsia" w:hAnsi="Century Gothic"/>
          <w:sz w:val="20"/>
          <w:szCs w:val="20"/>
        </w:rPr>
        <w:t>°F</w:t>
      </w:r>
    </w:p>
    <w:p w14:paraId="372A0210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14:paraId="619DDF93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14:paraId="0096FA59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14:paraId="3B0EEA0B" w14:textId="77777777"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14:paraId="0F7A9818" w14:textId="77777777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6358D4D" w14:textId="77777777"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6D299161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  <w:r w:rsidR="00234365">
        <w:rPr>
          <w:rFonts w:ascii="Century Gothic" w:eastAsiaTheme="minorEastAsia" w:hAnsi="Century Gothic"/>
          <w:sz w:val="20"/>
          <w:szCs w:val="20"/>
        </w:rPr>
        <w:t xml:space="preserve"> 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ASTM D 4985</w:t>
      </w:r>
    </w:p>
    <w:p w14:paraId="6EBB2D12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D45345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Chrysler MS7170 Sec. A and B 1-4</w:t>
      </w:r>
    </w:p>
    <w:p w14:paraId="1DBD0F0A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GM 1825M</w:t>
      </w:r>
    </w:p>
    <w:p w14:paraId="78F6C414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GM 1899M</w:t>
      </w:r>
    </w:p>
    <w:p w14:paraId="2DCD1E1D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CID A-A-52624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Ford ESE-M97B44-A Sec. 3.1.1 and 3.1.2.</w:t>
      </w:r>
    </w:p>
    <w:p w14:paraId="31091946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TMC RP 329</w:t>
      </w:r>
    </w:p>
    <w:p w14:paraId="451B6AFF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14:paraId="47E486F0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14:paraId="251977E9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14:paraId="5D19ED80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14:paraId="46B928C2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14:paraId="485D6B79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14:paraId="42F0E85C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14:paraId="2F0EDE60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14:paraId="6875D141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(Peterbilt and Kenworth)</w:t>
      </w:r>
    </w:p>
    <w:p w14:paraId="0AE9964A" w14:textId="77777777"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14:paraId="3E374909" w14:textId="77777777"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  <w:r w:rsidR="00A30DB4">
        <w:rPr>
          <w:rFonts w:ascii="Century Gothic" w:eastAsiaTheme="minorEastAsia" w:hAnsi="Century Gothic"/>
          <w:sz w:val="20"/>
          <w:szCs w:val="20"/>
        </w:rPr>
        <w:t>/antifreeze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14:paraId="28C60220" w14:textId="77777777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9F9A1ED" w14:textId="77777777"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F4C5739" w14:textId="77777777"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>Specific Gravity(16/16°C)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</w:t>
      </w:r>
      <w:r w:rsidR="004C784D">
        <w:rPr>
          <w:rFonts w:ascii="Century Gothic" w:hAnsi="Century Gothic"/>
          <w:sz w:val="20"/>
          <w:szCs w:val="20"/>
        </w:rPr>
        <w:t>110 - 1.126</w:t>
      </w:r>
    </w:p>
    <w:p w14:paraId="3EBAF821" w14:textId="77777777" w:rsidR="003F4B15" w:rsidRPr="006A46D3" w:rsidRDefault="003F4B15" w:rsidP="003F4B15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Freezing Point, </w:t>
      </w:r>
      <w:r w:rsidR="004C784D">
        <w:rPr>
          <w:rFonts w:ascii="Century Gothic" w:hAnsi="Century Gothic"/>
          <w:sz w:val="20"/>
          <w:szCs w:val="20"/>
        </w:rPr>
        <w:t>at 50%</w:t>
      </w:r>
      <w:r w:rsidR="004C784D">
        <w:rPr>
          <w:rFonts w:ascii="Century Gothic" w:hAnsi="Century Gothic"/>
          <w:sz w:val="20"/>
          <w:szCs w:val="20"/>
        </w:rPr>
        <w:tab/>
      </w:r>
      <w:r w:rsidR="004C784D">
        <w:rPr>
          <w:rFonts w:ascii="Century Gothic" w:hAnsi="Century Gothic"/>
          <w:sz w:val="20"/>
          <w:szCs w:val="20"/>
        </w:rPr>
        <w:tab/>
      </w:r>
      <w:r w:rsidR="00A30DB4"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</w:t>
      </w:r>
      <w:r w:rsidR="001E36A0">
        <w:rPr>
          <w:rFonts w:ascii="Century Gothic" w:hAnsi="Century Gothic" w:cs="Vrinda"/>
          <w:sz w:val="20"/>
          <w:szCs w:val="20"/>
        </w:rPr>
        <w:t>-</w:t>
      </w:r>
      <w:r w:rsidRPr="006A46D3">
        <w:rPr>
          <w:rFonts w:ascii="Century Gothic" w:hAnsi="Century Gothic" w:cs="Vrinda"/>
          <w:sz w:val="20"/>
          <w:szCs w:val="20"/>
        </w:rPr>
        <w:t>34°F)</w:t>
      </w:r>
    </w:p>
    <w:p w14:paraId="25CDDC56" w14:textId="77777777"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</w:t>
      </w:r>
      <w:r w:rsidR="00234365">
        <w:rPr>
          <w:rFonts w:ascii="Century Gothic" w:hAnsi="Century Gothic"/>
          <w:sz w:val="20"/>
          <w:szCs w:val="20"/>
        </w:rPr>
        <w:t>ing Point, Reflux</w:t>
      </w:r>
      <w:r w:rsidR="00234365">
        <w:rPr>
          <w:rFonts w:ascii="Century Gothic" w:hAnsi="Century Gothic"/>
          <w:sz w:val="20"/>
          <w:szCs w:val="20"/>
        </w:rPr>
        <w:tab/>
      </w:r>
      <w:r w:rsidR="00234365">
        <w:rPr>
          <w:rFonts w:ascii="Century Gothic" w:hAnsi="Century Gothic"/>
          <w:sz w:val="20"/>
          <w:szCs w:val="20"/>
        </w:rPr>
        <w:tab/>
      </w:r>
      <w:r w:rsidR="00234365">
        <w:rPr>
          <w:rFonts w:ascii="Century Gothic" w:hAnsi="Century Gothic"/>
          <w:sz w:val="20"/>
          <w:szCs w:val="20"/>
        </w:rPr>
        <w:tab/>
        <w:t>163°C (325°F</w:t>
      </w:r>
      <w:r>
        <w:rPr>
          <w:rFonts w:ascii="Century Gothic" w:hAnsi="Century Gothic"/>
          <w:sz w:val="20"/>
          <w:szCs w:val="20"/>
        </w:rPr>
        <w:t>)</w:t>
      </w:r>
    </w:p>
    <w:p w14:paraId="658A9A9E" w14:textId="77777777"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14:paraId="115A9544" w14:textId="77777777"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34365">
        <w:rPr>
          <w:rFonts w:ascii="Century Gothic" w:hAnsi="Century Gothic"/>
          <w:sz w:val="20"/>
          <w:szCs w:val="20"/>
        </w:rPr>
        <w:t>6.5 – 7.0</w:t>
      </w:r>
    </w:p>
    <w:p w14:paraId="5B1CFA76" w14:textId="77777777"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14:paraId="01C179E1" w14:textId="1D6CD657" w:rsidR="008823FC" w:rsidRDefault="002E2631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A0CAD">
        <w:rPr>
          <w:rFonts w:ascii="Century Gothic" w:hAnsi="Century Gothic"/>
          <w:sz w:val="20"/>
          <w:szCs w:val="20"/>
        </w:rPr>
        <w:t>Red</w:t>
      </w:r>
    </w:p>
    <w:p w14:paraId="766D6DA0" w14:textId="77777777" w:rsidR="00442DBB" w:rsidRDefault="00442DBB" w:rsidP="003F4B15">
      <w:pPr>
        <w:pStyle w:val="NoSpacing"/>
        <w:rPr>
          <w:rFonts w:ascii="Century Gothic" w:hAnsi="Century Gothic"/>
          <w:sz w:val="20"/>
          <w:szCs w:val="20"/>
        </w:rPr>
      </w:pPr>
    </w:p>
    <w:p w14:paraId="5F137881" w14:textId="77777777" w:rsidR="00442DBB" w:rsidRPr="003F4B15" w:rsidRDefault="00442DBB" w:rsidP="00442DBB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442DBB" w:rsidRPr="003F4B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BF8B" w14:textId="77777777" w:rsidR="00A15469" w:rsidRDefault="00891384">
      <w:pPr>
        <w:spacing w:after="0" w:line="240" w:lineRule="auto"/>
      </w:pPr>
      <w:r>
        <w:separator/>
      </w:r>
    </w:p>
  </w:endnote>
  <w:endnote w:type="continuationSeparator" w:id="0">
    <w:p w14:paraId="70F8CC64" w14:textId="77777777" w:rsidR="00A15469" w:rsidRDefault="0089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A2250" w14:textId="77777777" w:rsidR="00652DB8" w:rsidRDefault="003E3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33FF7" w14:textId="77777777" w:rsidR="00652DB8" w:rsidRDefault="007A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D47E" w14:textId="77777777" w:rsidR="00A15469" w:rsidRDefault="00891384">
      <w:pPr>
        <w:spacing w:after="0" w:line="240" w:lineRule="auto"/>
      </w:pPr>
      <w:r>
        <w:separator/>
      </w:r>
    </w:p>
  </w:footnote>
  <w:footnote w:type="continuationSeparator" w:id="0">
    <w:p w14:paraId="7C9D9015" w14:textId="77777777" w:rsidR="00A15469" w:rsidRDefault="0089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9A5C" w14:textId="77777777" w:rsidR="00652DB8" w:rsidRDefault="003E3451">
    <w:pPr>
      <w:pStyle w:val="Header"/>
    </w:pPr>
    <w:r>
      <w:rPr>
        <w:noProof/>
      </w:rPr>
      <w:drawing>
        <wp:inline distT="0" distB="0" distL="0" distR="0" wp14:anchorId="4EC1A0DE" wp14:editId="75454587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15"/>
    <w:rsid w:val="000D4034"/>
    <w:rsid w:val="000E06DA"/>
    <w:rsid w:val="001E36A0"/>
    <w:rsid w:val="00234365"/>
    <w:rsid w:val="002E2631"/>
    <w:rsid w:val="00351506"/>
    <w:rsid w:val="003E3451"/>
    <w:rsid w:val="003F4B15"/>
    <w:rsid w:val="00442DBB"/>
    <w:rsid w:val="004C784D"/>
    <w:rsid w:val="007A0CAD"/>
    <w:rsid w:val="008823FC"/>
    <w:rsid w:val="00891384"/>
    <w:rsid w:val="00994637"/>
    <w:rsid w:val="00A15469"/>
    <w:rsid w:val="00A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C7BE"/>
  <w15:docId w15:val="{7ED12F96-9EF6-4364-962F-D56D56D5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5"/>
  </w:style>
  <w:style w:type="paragraph" w:styleId="Footer">
    <w:name w:val="footer"/>
    <w:basedOn w:val="Normal"/>
    <w:link w:val="Foot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5"/>
  </w:style>
  <w:style w:type="table" w:styleId="TableGrid">
    <w:name w:val="Table Grid"/>
    <w:basedOn w:val="TableNormal"/>
    <w:uiPriority w:val="59"/>
    <w:rsid w:val="003F4B1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3</cp:revision>
  <cp:lastPrinted>2015-11-02T18:43:00Z</cp:lastPrinted>
  <dcterms:created xsi:type="dcterms:W3CDTF">2020-08-03T15:23:00Z</dcterms:created>
  <dcterms:modified xsi:type="dcterms:W3CDTF">2020-08-04T14:29:00Z</dcterms:modified>
</cp:coreProperties>
</file>