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C729" w14:textId="77777777" w:rsidR="008518EA" w:rsidRDefault="008518EA"/>
    <w:p w14:paraId="0F607379" w14:textId="77777777" w:rsidR="00597B82" w:rsidRPr="00234E9A" w:rsidRDefault="00597B82" w:rsidP="00234E9A">
      <w:pPr>
        <w:rPr>
          <w:rFonts w:ascii="Century Gothic" w:hAnsi="Century Gothic"/>
          <w:b/>
        </w:rPr>
      </w:pPr>
      <w:r w:rsidRPr="00234E9A">
        <w:rPr>
          <w:rFonts w:ascii="Century Gothic" w:hAnsi="Century Gothic"/>
          <w:b/>
        </w:rPr>
        <w:t>Beacon Ar</w:t>
      </w:r>
      <w:r w:rsidR="00E24859" w:rsidRPr="00234E9A">
        <w:rPr>
          <w:rFonts w:ascii="Century Gothic" w:hAnsi="Century Gothic"/>
          <w:b/>
        </w:rPr>
        <w:t>c</w:t>
      </w:r>
      <w:r w:rsidRPr="00234E9A">
        <w:rPr>
          <w:rFonts w:ascii="Century Gothic" w:hAnsi="Century Gothic"/>
          <w:b/>
        </w:rPr>
        <w:t xml:space="preserve">tic </w:t>
      </w:r>
      <w:r w:rsidR="00E24859" w:rsidRPr="00234E9A">
        <w:rPr>
          <w:rFonts w:ascii="Century Gothic" w:hAnsi="Century Gothic"/>
          <w:b/>
        </w:rPr>
        <w:t>Lube Refrigerant Oils</w:t>
      </w:r>
    </w:p>
    <w:p w14:paraId="023A9AF0" w14:textId="77777777" w:rsidR="00597B82" w:rsidRDefault="00597B82" w:rsidP="00597B82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597B82" w:rsidRPr="00533C7A" w14:paraId="1FA80D38" w14:textId="77777777" w:rsidTr="00234E9A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56A296" w14:textId="77777777" w:rsidR="00597B82" w:rsidRPr="00533C7A" w:rsidRDefault="00597B82" w:rsidP="004B543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3C7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0D0FD4B8" w14:textId="77777777" w:rsidR="00597B82" w:rsidRPr="00533C7A" w:rsidRDefault="00597B82" w:rsidP="00597B82">
      <w:pPr>
        <w:rPr>
          <w:rFonts w:ascii="Century Gothic" w:hAnsi="Century Gothic"/>
          <w:b/>
          <w:sz w:val="20"/>
          <w:szCs w:val="20"/>
        </w:rPr>
      </w:pPr>
    </w:p>
    <w:p w14:paraId="3360533D" w14:textId="77777777" w:rsidR="00597B82" w:rsidRPr="00533C7A" w:rsidRDefault="00E24859" w:rsidP="00597B82">
      <w:pPr>
        <w:rPr>
          <w:rFonts w:ascii="Century Gothic" w:hAnsi="Century Gothic"/>
          <w:sz w:val="20"/>
          <w:szCs w:val="20"/>
        </w:rPr>
      </w:pPr>
      <w:r w:rsidRPr="00533C7A">
        <w:rPr>
          <w:rFonts w:ascii="Century Gothic" w:hAnsi="Century Gothic"/>
          <w:sz w:val="20"/>
          <w:szCs w:val="20"/>
        </w:rPr>
        <w:t>Beacon Arctic Lube Refrigerant Oils are a</w:t>
      </w:r>
      <w:r w:rsidR="00597B82" w:rsidRPr="00533C7A">
        <w:rPr>
          <w:rFonts w:ascii="Century Gothic" w:hAnsi="Century Gothic"/>
          <w:sz w:val="20"/>
          <w:szCs w:val="20"/>
        </w:rPr>
        <w:t xml:space="preserve"> highly processed naphthenic mineral oils formulated for use in refrigerant compressors. </w:t>
      </w:r>
    </w:p>
    <w:p w14:paraId="11660E13" w14:textId="77777777" w:rsidR="00597B82" w:rsidRPr="00533C7A" w:rsidRDefault="00597B82" w:rsidP="00597B82">
      <w:pPr>
        <w:rPr>
          <w:rFonts w:ascii="Century Gothic" w:hAnsi="Century Gothic"/>
          <w:sz w:val="20"/>
          <w:szCs w:val="20"/>
        </w:rPr>
      </w:pPr>
    </w:p>
    <w:p w14:paraId="1336AA40" w14:textId="77777777" w:rsidR="00597B82" w:rsidRPr="00533C7A" w:rsidRDefault="00E24859" w:rsidP="00597B82">
      <w:pPr>
        <w:rPr>
          <w:rFonts w:ascii="Century Gothic" w:hAnsi="Century Gothic"/>
          <w:sz w:val="20"/>
          <w:szCs w:val="20"/>
        </w:rPr>
      </w:pPr>
      <w:r w:rsidRPr="00533C7A">
        <w:rPr>
          <w:rFonts w:ascii="Century Gothic" w:hAnsi="Century Gothic"/>
          <w:sz w:val="20"/>
          <w:szCs w:val="20"/>
        </w:rPr>
        <w:t>These oils</w:t>
      </w:r>
      <w:r w:rsidR="00597B82" w:rsidRPr="00533C7A">
        <w:rPr>
          <w:rFonts w:ascii="Century Gothic" w:hAnsi="Century Gothic"/>
          <w:sz w:val="20"/>
          <w:szCs w:val="20"/>
        </w:rPr>
        <w:t xml:space="preserve"> </w:t>
      </w:r>
      <w:r w:rsidRPr="00533C7A">
        <w:rPr>
          <w:rFonts w:ascii="Century Gothic" w:hAnsi="Century Gothic"/>
          <w:sz w:val="20"/>
          <w:szCs w:val="20"/>
        </w:rPr>
        <w:t xml:space="preserve">possess </w:t>
      </w:r>
      <w:r w:rsidR="00597B82" w:rsidRPr="00533C7A">
        <w:rPr>
          <w:rFonts w:ascii="Century Gothic" w:hAnsi="Century Gothic"/>
          <w:sz w:val="20"/>
          <w:szCs w:val="20"/>
        </w:rPr>
        <w:t xml:space="preserve">excellent pour points and stability allowing for excellent operation at low temperatures. This also provides for excellent heat transfer and evaporator cleanliness. </w:t>
      </w:r>
    </w:p>
    <w:p w14:paraId="332E0755" w14:textId="77777777" w:rsidR="00597B82" w:rsidRPr="00533C7A" w:rsidRDefault="00597B82" w:rsidP="00597B82">
      <w:pPr>
        <w:rPr>
          <w:rFonts w:ascii="Century Gothic" w:hAnsi="Century Gothic"/>
          <w:sz w:val="20"/>
          <w:szCs w:val="20"/>
        </w:rPr>
      </w:pPr>
    </w:p>
    <w:p w14:paraId="07DC168F" w14:textId="77777777" w:rsidR="00597B82" w:rsidRPr="00533C7A" w:rsidRDefault="00E24859" w:rsidP="00597B82">
      <w:pPr>
        <w:rPr>
          <w:rFonts w:ascii="Century Gothic" w:hAnsi="Century Gothic"/>
          <w:sz w:val="20"/>
          <w:szCs w:val="20"/>
        </w:rPr>
      </w:pPr>
      <w:r w:rsidRPr="00533C7A">
        <w:rPr>
          <w:rFonts w:ascii="Century Gothic" w:hAnsi="Century Gothic"/>
          <w:sz w:val="20"/>
          <w:szCs w:val="20"/>
        </w:rPr>
        <w:t xml:space="preserve">Beacon Arctic Lube Refrigerant oils are </w:t>
      </w:r>
      <w:r w:rsidR="00597B82" w:rsidRPr="00533C7A">
        <w:rPr>
          <w:rFonts w:ascii="Century Gothic" w:hAnsi="Century Gothic"/>
          <w:sz w:val="20"/>
          <w:szCs w:val="20"/>
        </w:rPr>
        <w:t>formulated to be therm</w:t>
      </w:r>
      <w:r w:rsidR="004B5434" w:rsidRPr="00533C7A">
        <w:rPr>
          <w:rFonts w:ascii="Century Gothic" w:hAnsi="Century Gothic"/>
          <w:sz w:val="20"/>
          <w:szCs w:val="20"/>
        </w:rPr>
        <w:t>o-shea</w:t>
      </w:r>
      <w:r w:rsidR="00597B82" w:rsidRPr="00533C7A">
        <w:rPr>
          <w:rFonts w:ascii="Century Gothic" w:hAnsi="Century Gothic"/>
          <w:sz w:val="20"/>
          <w:szCs w:val="20"/>
        </w:rPr>
        <w:t xml:space="preserve">r resistant and chemically stable, providing for superior bearing and cross flow cylinder lubrication. </w:t>
      </w:r>
    </w:p>
    <w:p w14:paraId="215A14CA" w14:textId="77777777" w:rsidR="00597B82" w:rsidRPr="00533C7A" w:rsidRDefault="00597B82" w:rsidP="00597B82">
      <w:pPr>
        <w:rPr>
          <w:rFonts w:ascii="Century Gothic" w:hAnsi="Century Gothic"/>
          <w:sz w:val="20"/>
          <w:szCs w:val="20"/>
        </w:rPr>
      </w:pPr>
    </w:p>
    <w:p w14:paraId="17DC3CA3" w14:textId="77777777" w:rsidR="00597B82" w:rsidRPr="00533C7A" w:rsidRDefault="00E24859" w:rsidP="00597B82">
      <w:pPr>
        <w:rPr>
          <w:rFonts w:ascii="Century Gothic" w:hAnsi="Century Gothic"/>
          <w:sz w:val="20"/>
          <w:szCs w:val="20"/>
        </w:rPr>
      </w:pPr>
      <w:r w:rsidRPr="00533C7A">
        <w:rPr>
          <w:rFonts w:ascii="Century Gothic" w:hAnsi="Century Gothic"/>
          <w:sz w:val="20"/>
          <w:szCs w:val="20"/>
        </w:rPr>
        <w:t>*S</w:t>
      </w:r>
      <w:r w:rsidR="00597B82" w:rsidRPr="00533C7A">
        <w:rPr>
          <w:rFonts w:ascii="Century Gothic" w:hAnsi="Century Gothic"/>
          <w:sz w:val="20"/>
          <w:szCs w:val="20"/>
        </w:rPr>
        <w:t xml:space="preserve">uitable for most refrigerant systems, including, but not limited to ammonia systems. </w:t>
      </w:r>
    </w:p>
    <w:p w14:paraId="770EF5FB" w14:textId="77777777" w:rsidR="00597B82" w:rsidRPr="00533C7A" w:rsidRDefault="00597B82" w:rsidP="00597B82">
      <w:pPr>
        <w:rPr>
          <w:rFonts w:ascii="Century Gothic" w:hAnsi="Century Gothic"/>
          <w:sz w:val="20"/>
          <w:szCs w:val="20"/>
        </w:rPr>
      </w:pPr>
    </w:p>
    <w:p w14:paraId="13FF83F0" w14:textId="77777777" w:rsidR="00597B82" w:rsidRPr="00533C7A" w:rsidRDefault="00E24859" w:rsidP="00597B82">
      <w:pPr>
        <w:rPr>
          <w:rFonts w:ascii="Century Gothic" w:hAnsi="Century Gothic"/>
          <w:sz w:val="20"/>
          <w:szCs w:val="20"/>
        </w:rPr>
      </w:pPr>
      <w:r w:rsidRPr="00533C7A">
        <w:rPr>
          <w:rFonts w:ascii="Century Gothic" w:hAnsi="Century Gothic"/>
          <w:sz w:val="20"/>
          <w:szCs w:val="20"/>
        </w:rPr>
        <w:t>*</w:t>
      </w:r>
      <w:r w:rsidR="00597B82" w:rsidRPr="00533C7A">
        <w:rPr>
          <w:rFonts w:ascii="Century Gothic" w:hAnsi="Century Gothic"/>
          <w:sz w:val="20"/>
          <w:szCs w:val="20"/>
        </w:rPr>
        <w:t xml:space="preserve">It is not suitable for use in systems containing HFC or sulfur dioxide refrigerants.   </w:t>
      </w:r>
    </w:p>
    <w:p w14:paraId="4C755B70" w14:textId="77777777" w:rsidR="00597B82" w:rsidRPr="00533C7A" w:rsidRDefault="00597B82" w:rsidP="00597B82">
      <w:pPr>
        <w:rPr>
          <w:rFonts w:ascii="Century Gothic" w:hAnsi="Century Gothic"/>
          <w:sz w:val="20"/>
          <w:szCs w:val="20"/>
        </w:rPr>
      </w:pPr>
      <w:r w:rsidRPr="00533C7A">
        <w:rPr>
          <w:rFonts w:ascii="Century Gothic" w:hAnsi="Century Gothic"/>
          <w:sz w:val="20"/>
          <w:szCs w:val="20"/>
        </w:rPr>
        <w:tab/>
      </w:r>
    </w:p>
    <w:p w14:paraId="4D41BBF1" w14:textId="77777777" w:rsidR="00597B82" w:rsidRPr="00533C7A" w:rsidRDefault="00597B82" w:rsidP="00597B8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7B82" w:rsidRPr="00533C7A" w14:paraId="756E19AB" w14:textId="77777777" w:rsidTr="00E1407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D3E7BC" w14:textId="77777777" w:rsidR="00597B82" w:rsidRPr="00533C7A" w:rsidRDefault="00597B82" w:rsidP="004B543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3C7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1BDBB76D" w14:textId="77777777" w:rsidR="004B5434" w:rsidRPr="00533C7A" w:rsidRDefault="004B5434" w:rsidP="004B5434">
      <w:pPr>
        <w:rPr>
          <w:sz w:val="20"/>
          <w:szCs w:val="20"/>
        </w:rPr>
      </w:pPr>
    </w:p>
    <w:p w14:paraId="61D7A6D9" w14:textId="77777777" w:rsidR="00E24859" w:rsidRPr="00533C7A" w:rsidRDefault="00E24859" w:rsidP="004B5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24859" w:rsidRPr="00533C7A" w14:paraId="7E657494" w14:textId="77777777" w:rsidTr="00E24859">
        <w:tc>
          <w:tcPr>
            <w:tcW w:w="2952" w:type="dxa"/>
          </w:tcPr>
          <w:p w14:paraId="2928CDCB" w14:textId="77777777" w:rsidR="00E24859" w:rsidRPr="00533C7A" w:rsidRDefault="00E24859" w:rsidP="00E24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33C7A">
              <w:rPr>
                <w:rFonts w:ascii="Century Gothic" w:hAnsi="Century Gothic"/>
                <w:b/>
                <w:sz w:val="20"/>
                <w:szCs w:val="20"/>
              </w:rPr>
              <w:t>Beacon Arctic Lube Refrigerant Oils</w:t>
            </w:r>
          </w:p>
        </w:tc>
        <w:tc>
          <w:tcPr>
            <w:tcW w:w="2952" w:type="dxa"/>
          </w:tcPr>
          <w:p w14:paraId="1D6B9AFF" w14:textId="77777777" w:rsidR="00E24859" w:rsidRPr="00533C7A" w:rsidRDefault="00E24859" w:rsidP="00E24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33C7A">
              <w:rPr>
                <w:rFonts w:ascii="Century Gothic" w:hAnsi="Century Gothic"/>
                <w:b/>
                <w:sz w:val="20"/>
                <w:szCs w:val="20"/>
              </w:rPr>
              <w:t>Beacon Arctic Lube 150</w:t>
            </w:r>
          </w:p>
        </w:tc>
        <w:tc>
          <w:tcPr>
            <w:tcW w:w="2952" w:type="dxa"/>
          </w:tcPr>
          <w:p w14:paraId="4425EF98" w14:textId="77777777" w:rsidR="00E24859" w:rsidRPr="00533C7A" w:rsidRDefault="00E24859" w:rsidP="00E24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33C7A">
              <w:rPr>
                <w:rFonts w:ascii="Century Gothic" w:hAnsi="Century Gothic"/>
                <w:b/>
                <w:sz w:val="20"/>
                <w:szCs w:val="20"/>
              </w:rPr>
              <w:t>Beacon Arctic Lube 300</w:t>
            </w:r>
          </w:p>
        </w:tc>
      </w:tr>
      <w:tr w:rsidR="00E24859" w:rsidRPr="00533C7A" w14:paraId="30E6656B" w14:textId="77777777" w:rsidTr="00E24859">
        <w:tc>
          <w:tcPr>
            <w:tcW w:w="2952" w:type="dxa"/>
          </w:tcPr>
          <w:p w14:paraId="15365438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ISO Viscosity Grade</w:t>
            </w:r>
          </w:p>
        </w:tc>
        <w:tc>
          <w:tcPr>
            <w:tcW w:w="2952" w:type="dxa"/>
          </w:tcPr>
          <w:p w14:paraId="6049A4F6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2952" w:type="dxa"/>
          </w:tcPr>
          <w:p w14:paraId="044A4930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</w:tr>
      <w:tr w:rsidR="00E24859" w:rsidRPr="00533C7A" w14:paraId="559B7299" w14:textId="77777777" w:rsidTr="00E24859">
        <w:tc>
          <w:tcPr>
            <w:tcW w:w="2952" w:type="dxa"/>
          </w:tcPr>
          <w:p w14:paraId="11CD8F71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 xml:space="preserve">Viscosity, ASTM D 445, </w:t>
            </w:r>
            <w:proofErr w:type="spellStart"/>
            <w:r w:rsidRPr="00533C7A">
              <w:rPr>
                <w:rFonts w:ascii="Century Gothic" w:hAnsi="Century Gothic"/>
                <w:sz w:val="20"/>
                <w:szCs w:val="20"/>
              </w:rPr>
              <w:t>cSt</w:t>
            </w:r>
            <w:proofErr w:type="spellEnd"/>
            <w:r w:rsidRPr="00533C7A">
              <w:rPr>
                <w:rFonts w:ascii="Century Gothic" w:hAnsi="Century Gothic"/>
                <w:sz w:val="20"/>
                <w:szCs w:val="20"/>
              </w:rPr>
              <w:t xml:space="preserve"> @ 40°C</w:t>
            </w:r>
          </w:p>
        </w:tc>
        <w:tc>
          <w:tcPr>
            <w:tcW w:w="2952" w:type="dxa"/>
          </w:tcPr>
          <w:p w14:paraId="1604A62A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32.0</w:t>
            </w:r>
          </w:p>
        </w:tc>
        <w:tc>
          <w:tcPr>
            <w:tcW w:w="2952" w:type="dxa"/>
          </w:tcPr>
          <w:p w14:paraId="4B675101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68.0</w:t>
            </w:r>
          </w:p>
        </w:tc>
      </w:tr>
      <w:tr w:rsidR="00E24859" w:rsidRPr="00533C7A" w14:paraId="0AE4F4B9" w14:textId="77777777" w:rsidTr="00E24859">
        <w:tc>
          <w:tcPr>
            <w:tcW w:w="2952" w:type="dxa"/>
          </w:tcPr>
          <w:p w14:paraId="47882C40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Pour Point, °C, ASTM D 97</w:t>
            </w:r>
          </w:p>
        </w:tc>
        <w:tc>
          <w:tcPr>
            <w:tcW w:w="2952" w:type="dxa"/>
          </w:tcPr>
          <w:p w14:paraId="4E1676D4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-42</w:t>
            </w:r>
          </w:p>
        </w:tc>
        <w:tc>
          <w:tcPr>
            <w:tcW w:w="2952" w:type="dxa"/>
          </w:tcPr>
          <w:p w14:paraId="4ED98C37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-42</w:t>
            </w:r>
          </w:p>
        </w:tc>
      </w:tr>
      <w:tr w:rsidR="00E24859" w:rsidRPr="00533C7A" w14:paraId="0622F393" w14:textId="77777777" w:rsidTr="00E24859">
        <w:tc>
          <w:tcPr>
            <w:tcW w:w="2952" w:type="dxa"/>
          </w:tcPr>
          <w:p w14:paraId="0C8D0F6A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Flash Point, °C, ASTM D 92</w:t>
            </w:r>
          </w:p>
        </w:tc>
        <w:tc>
          <w:tcPr>
            <w:tcW w:w="2952" w:type="dxa"/>
          </w:tcPr>
          <w:p w14:paraId="1A94FD72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190</w:t>
            </w:r>
          </w:p>
        </w:tc>
        <w:tc>
          <w:tcPr>
            <w:tcW w:w="2952" w:type="dxa"/>
          </w:tcPr>
          <w:p w14:paraId="60CBD122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</w:tr>
      <w:tr w:rsidR="00E24859" w:rsidRPr="00533C7A" w14:paraId="4C1E1111" w14:textId="77777777" w:rsidTr="00E24859">
        <w:tc>
          <w:tcPr>
            <w:tcW w:w="2952" w:type="dxa"/>
          </w:tcPr>
          <w:p w14:paraId="05E7094D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Specific Gravity @ 15° C/15° C, ASTM D 1298</w:t>
            </w:r>
          </w:p>
        </w:tc>
        <w:tc>
          <w:tcPr>
            <w:tcW w:w="2952" w:type="dxa"/>
          </w:tcPr>
          <w:p w14:paraId="0B5C799C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0.91</w:t>
            </w:r>
          </w:p>
        </w:tc>
        <w:tc>
          <w:tcPr>
            <w:tcW w:w="2952" w:type="dxa"/>
          </w:tcPr>
          <w:p w14:paraId="75B216B5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0.91</w:t>
            </w:r>
          </w:p>
        </w:tc>
      </w:tr>
      <w:tr w:rsidR="00E24859" w:rsidRPr="00533C7A" w14:paraId="2353F374" w14:textId="77777777" w:rsidTr="00E24859">
        <w:tc>
          <w:tcPr>
            <w:tcW w:w="2952" w:type="dxa"/>
          </w:tcPr>
          <w:p w14:paraId="3881A7FF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Total Acid Number, ASTM D 974, mg KOH/g</w:t>
            </w:r>
          </w:p>
        </w:tc>
        <w:tc>
          <w:tcPr>
            <w:tcW w:w="2952" w:type="dxa"/>
          </w:tcPr>
          <w:p w14:paraId="6116ADE9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0.01</w:t>
            </w:r>
          </w:p>
        </w:tc>
        <w:tc>
          <w:tcPr>
            <w:tcW w:w="2952" w:type="dxa"/>
          </w:tcPr>
          <w:p w14:paraId="3E1AC067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0.01</w:t>
            </w:r>
          </w:p>
        </w:tc>
      </w:tr>
      <w:tr w:rsidR="00E24859" w:rsidRPr="00533C7A" w14:paraId="38149B47" w14:textId="77777777" w:rsidTr="00E24859">
        <w:tc>
          <w:tcPr>
            <w:tcW w:w="2952" w:type="dxa"/>
          </w:tcPr>
          <w:p w14:paraId="66AF8048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Flocculation Point, R 12, DIN 51351, °C</w:t>
            </w:r>
          </w:p>
        </w:tc>
        <w:tc>
          <w:tcPr>
            <w:tcW w:w="2952" w:type="dxa"/>
          </w:tcPr>
          <w:p w14:paraId="75D92D82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-36</w:t>
            </w:r>
          </w:p>
        </w:tc>
        <w:tc>
          <w:tcPr>
            <w:tcW w:w="2952" w:type="dxa"/>
          </w:tcPr>
          <w:p w14:paraId="27B3CEE3" w14:textId="77777777" w:rsidR="00E24859" w:rsidRPr="00533C7A" w:rsidRDefault="00E24859" w:rsidP="00E24859">
            <w:pPr>
              <w:rPr>
                <w:rFonts w:ascii="Century Gothic" w:hAnsi="Century Gothic"/>
                <w:sz w:val="20"/>
                <w:szCs w:val="20"/>
              </w:rPr>
            </w:pPr>
            <w:r w:rsidRPr="00533C7A">
              <w:rPr>
                <w:rFonts w:ascii="Century Gothic" w:hAnsi="Century Gothic"/>
                <w:sz w:val="20"/>
                <w:szCs w:val="20"/>
              </w:rPr>
              <w:t>-31</w:t>
            </w:r>
          </w:p>
        </w:tc>
      </w:tr>
    </w:tbl>
    <w:p w14:paraId="0995D135" w14:textId="77777777" w:rsidR="00E24859" w:rsidRDefault="00E24859" w:rsidP="00E24859">
      <w:pPr>
        <w:rPr>
          <w:sz w:val="22"/>
          <w:szCs w:val="22"/>
        </w:rPr>
      </w:pPr>
    </w:p>
    <w:p w14:paraId="53878CA2" w14:textId="77777777" w:rsidR="004B5434" w:rsidRDefault="00E24859" w:rsidP="00E24859">
      <w:pPr>
        <w:tabs>
          <w:tab w:val="left" w:pos="64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02985D0" w14:textId="77777777" w:rsidR="00F172C7" w:rsidRDefault="00F172C7" w:rsidP="00E24859">
      <w:pPr>
        <w:tabs>
          <w:tab w:val="left" w:pos="6406"/>
        </w:tabs>
        <w:rPr>
          <w:sz w:val="22"/>
          <w:szCs w:val="22"/>
        </w:rPr>
      </w:pPr>
    </w:p>
    <w:p w14:paraId="53FF2BFE" w14:textId="77777777" w:rsidR="00F172C7" w:rsidRDefault="00F172C7" w:rsidP="00E24859">
      <w:pPr>
        <w:tabs>
          <w:tab w:val="left" w:pos="6406"/>
        </w:tabs>
        <w:rPr>
          <w:sz w:val="22"/>
          <w:szCs w:val="22"/>
        </w:rPr>
      </w:pPr>
    </w:p>
    <w:p w14:paraId="7F478849" w14:textId="5AA21A01" w:rsidR="00F172C7" w:rsidRPr="00F172C7" w:rsidRDefault="00F172C7" w:rsidP="00F172C7">
      <w:pPr>
        <w:tabs>
          <w:tab w:val="left" w:pos="6406"/>
        </w:tabs>
        <w:jc w:val="center"/>
        <w:rPr>
          <w:rFonts w:ascii="Century Gothic" w:hAnsi="Century Gothic"/>
          <w:sz w:val="22"/>
          <w:szCs w:val="22"/>
        </w:rPr>
      </w:pPr>
      <w:r w:rsidRPr="00F172C7">
        <w:rPr>
          <w:rFonts w:ascii="Century Gothic" w:hAnsi="Century Gothic"/>
          <w:sz w:val="22"/>
          <w:szCs w:val="22"/>
        </w:rPr>
        <w:t>Visit us at – www.beaconlubricants.com</w:t>
      </w:r>
      <w:bookmarkStart w:id="0" w:name="_GoBack"/>
      <w:bookmarkEnd w:id="0"/>
    </w:p>
    <w:sectPr w:rsidR="00F172C7" w:rsidRPr="00F172C7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A239" w14:textId="77777777" w:rsidR="00763C79" w:rsidRDefault="00763C79" w:rsidP="00597B82">
      <w:r>
        <w:separator/>
      </w:r>
    </w:p>
  </w:endnote>
  <w:endnote w:type="continuationSeparator" w:id="0">
    <w:p w14:paraId="4ED10D19" w14:textId="77777777" w:rsidR="00763C79" w:rsidRDefault="00763C79" w:rsidP="0059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82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71FD2" w14:textId="3D93BB38" w:rsidR="00533C7A" w:rsidRDefault="00533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CD06C" w14:textId="77777777" w:rsidR="00533C7A" w:rsidRDefault="0053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4039" w14:textId="77777777" w:rsidR="00763C79" w:rsidRDefault="00763C79" w:rsidP="00597B82">
      <w:r>
        <w:separator/>
      </w:r>
    </w:p>
  </w:footnote>
  <w:footnote w:type="continuationSeparator" w:id="0">
    <w:p w14:paraId="52A9FF0D" w14:textId="77777777" w:rsidR="00763C79" w:rsidRDefault="00763C79" w:rsidP="0059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4BA9" w14:textId="16A066B1" w:rsidR="00E24859" w:rsidRDefault="00747CED">
    <w:pPr>
      <w:pStyle w:val="Header"/>
    </w:pPr>
    <w:r>
      <w:rPr>
        <w:noProof/>
      </w:rPr>
      <w:drawing>
        <wp:inline distT="0" distB="0" distL="0" distR="0" wp14:anchorId="22904CB9" wp14:editId="5CBB1FE7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2"/>
    <w:rsid w:val="00234E9A"/>
    <w:rsid w:val="002E6106"/>
    <w:rsid w:val="004B5434"/>
    <w:rsid w:val="00533C7A"/>
    <w:rsid w:val="00597B82"/>
    <w:rsid w:val="00747CED"/>
    <w:rsid w:val="00763C79"/>
    <w:rsid w:val="008518EA"/>
    <w:rsid w:val="00A07D61"/>
    <w:rsid w:val="00AE3CE1"/>
    <w:rsid w:val="00CF4EA0"/>
    <w:rsid w:val="00E14077"/>
    <w:rsid w:val="00E24859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DF7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82"/>
  </w:style>
  <w:style w:type="paragraph" w:styleId="Footer">
    <w:name w:val="footer"/>
    <w:basedOn w:val="Normal"/>
    <w:link w:val="FooterChar"/>
    <w:uiPriority w:val="99"/>
    <w:unhideWhenUsed/>
    <w:rsid w:val="00597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82"/>
  </w:style>
  <w:style w:type="paragraph" w:styleId="BalloonText">
    <w:name w:val="Balloon Text"/>
    <w:basedOn w:val="Normal"/>
    <w:link w:val="BalloonTextChar"/>
    <w:uiPriority w:val="99"/>
    <w:semiHidden/>
    <w:unhideWhenUsed/>
    <w:rsid w:val="00597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82"/>
  </w:style>
  <w:style w:type="paragraph" w:styleId="Footer">
    <w:name w:val="footer"/>
    <w:basedOn w:val="Normal"/>
    <w:link w:val="FooterChar"/>
    <w:uiPriority w:val="99"/>
    <w:unhideWhenUsed/>
    <w:rsid w:val="00597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82"/>
  </w:style>
  <w:style w:type="paragraph" w:styleId="BalloonText">
    <w:name w:val="Balloon Text"/>
    <w:basedOn w:val="Normal"/>
    <w:link w:val="BalloonTextChar"/>
    <w:uiPriority w:val="99"/>
    <w:semiHidden/>
    <w:unhideWhenUsed/>
    <w:rsid w:val="00597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8</cp:revision>
  <cp:lastPrinted>2015-02-12T13:51:00Z</cp:lastPrinted>
  <dcterms:created xsi:type="dcterms:W3CDTF">2015-02-12T13:55:00Z</dcterms:created>
  <dcterms:modified xsi:type="dcterms:W3CDTF">2016-07-21T19:03:00Z</dcterms:modified>
</cp:coreProperties>
</file>