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7964" w14:textId="77777777" w:rsidR="00DD1A04" w:rsidRDefault="00DD1A04" w:rsidP="00DD1A04">
      <w:pPr>
        <w:spacing w:after="0" w:line="240" w:lineRule="auto"/>
        <w:rPr>
          <w:rFonts w:ascii="Century Gothic" w:eastAsia="Times New Roman" w:hAnsi="Century Gothic" w:cs="Times New Roman"/>
          <w:b/>
          <w:bCs/>
          <w:sz w:val="24"/>
          <w:szCs w:val="24"/>
        </w:rPr>
      </w:pPr>
    </w:p>
    <w:p w14:paraId="07ACCDCB"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 xml:space="preserve">Safety Data Sheet:  </w:t>
      </w:r>
      <w:r w:rsidR="00683607">
        <w:rPr>
          <w:rFonts w:ascii="Century Gothic" w:hAnsi="Century Gothic"/>
          <w:b/>
          <w:sz w:val="24"/>
          <w:szCs w:val="24"/>
        </w:rPr>
        <w:t>Beacon Type F ATF</w:t>
      </w:r>
      <w:r>
        <w:rPr>
          <w:rFonts w:ascii="Century Gothic" w:hAnsi="Century Gothic"/>
          <w:b/>
          <w:sz w:val="24"/>
          <w:szCs w:val="24"/>
        </w:rPr>
        <w:t xml:space="preserve"> </w:t>
      </w:r>
    </w:p>
    <w:p w14:paraId="0B5F9DC5" w14:textId="37664C0D"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 xml:space="preserve">Revision Date: </w:t>
      </w:r>
      <w:r w:rsidR="0090313A">
        <w:rPr>
          <w:rFonts w:ascii="Century Gothic" w:eastAsia="Times New Roman" w:hAnsi="Century Gothic" w:cs="Arial"/>
          <w:b/>
          <w:bCs/>
          <w:color w:val="030303"/>
          <w:sz w:val="24"/>
          <w:szCs w:val="24"/>
        </w:rPr>
        <w:t>January 2</w:t>
      </w:r>
      <w:r w:rsidR="0090313A">
        <w:rPr>
          <w:rFonts w:ascii="Century Gothic" w:eastAsia="Times New Roman" w:hAnsi="Century Gothic" w:cs="Arial"/>
          <w:b/>
          <w:bCs/>
          <w:color w:val="030303"/>
          <w:sz w:val="24"/>
          <w:szCs w:val="24"/>
          <w:vertAlign w:val="superscript"/>
        </w:rPr>
        <w:t>nd</w:t>
      </w:r>
      <w:r w:rsidR="0090313A">
        <w:rPr>
          <w:rFonts w:ascii="Century Gothic" w:eastAsia="Times New Roman" w:hAnsi="Century Gothic" w:cs="Arial"/>
          <w:b/>
          <w:bCs/>
          <w:color w:val="030303"/>
          <w:sz w:val="24"/>
          <w:szCs w:val="24"/>
        </w:rPr>
        <w:t xml:space="preserve"> 20</w:t>
      </w:r>
      <w:r w:rsidR="005F1D94">
        <w:rPr>
          <w:rFonts w:ascii="Century Gothic" w:eastAsia="Times New Roman" w:hAnsi="Century Gothic" w:cs="Arial"/>
          <w:b/>
          <w:bCs/>
          <w:color w:val="030303"/>
          <w:sz w:val="24"/>
          <w:szCs w:val="24"/>
        </w:rPr>
        <w:t>2</w:t>
      </w:r>
      <w:r w:rsidR="00D33465">
        <w:rPr>
          <w:rFonts w:ascii="Century Gothic" w:eastAsia="Times New Roman" w:hAnsi="Century Gothic" w:cs="Arial"/>
          <w:b/>
          <w:bCs/>
          <w:color w:val="030303"/>
          <w:sz w:val="24"/>
          <w:szCs w:val="24"/>
        </w:rPr>
        <w:t>2</w:t>
      </w:r>
    </w:p>
    <w:p w14:paraId="6E344ACE" w14:textId="77777777" w:rsidR="00DD1A04" w:rsidRPr="00DD1A04" w:rsidRDefault="00DD1A04" w:rsidP="00DD1A04">
      <w:pPr>
        <w:spacing w:after="0" w:line="240" w:lineRule="auto"/>
        <w:rPr>
          <w:rFonts w:ascii="Century Gothic" w:hAnsi="Century Gothic"/>
          <w:b/>
          <w:sz w:val="24"/>
          <w:szCs w:val="24"/>
        </w:rPr>
      </w:pPr>
    </w:p>
    <w:tbl>
      <w:tblPr>
        <w:tblStyle w:val="TableGrid1"/>
        <w:tblW w:w="9360" w:type="dxa"/>
        <w:tblInd w:w="108" w:type="dxa"/>
        <w:tblLook w:val="04A0" w:firstRow="1" w:lastRow="0" w:firstColumn="1" w:lastColumn="0" w:noHBand="0" w:noVBand="1"/>
      </w:tblPr>
      <w:tblGrid>
        <w:gridCol w:w="9360"/>
      </w:tblGrid>
      <w:tr w:rsidR="00DD1A04" w:rsidRPr="00DD1A04" w14:paraId="5501EBCB" w14:textId="77777777" w:rsidTr="00320E7C">
        <w:tc>
          <w:tcPr>
            <w:tcW w:w="9360" w:type="dxa"/>
            <w:tcBorders>
              <w:top w:val="nil"/>
              <w:left w:val="nil"/>
              <w:bottom w:val="nil"/>
              <w:right w:val="nil"/>
            </w:tcBorders>
            <w:shd w:val="clear" w:color="auto" w:fill="FF0000"/>
            <w:hideMark/>
          </w:tcPr>
          <w:p w14:paraId="6726C289" w14:textId="77777777" w:rsidR="00DD1A04" w:rsidRPr="00DD1A04" w:rsidRDefault="00DD1A04" w:rsidP="00DD1A04">
            <w:pPr>
              <w:rPr>
                <w:rFonts w:ascii="Century Gothic" w:hAnsi="Century Gothic"/>
                <w:color w:val="FFFFFF" w:themeColor="background1"/>
              </w:rPr>
            </w:pPr>
            <w:r w:rsidRPr="00DD1A04">
              <w:rPr>
                <w:rFonts w:ascii="Century Gothic" w:hAnsi="Century Gothic"/>
                <w:color w:val="FFFFFF" w:themeColor="background1"/>
              </w:rPr>
              <w:t>SECTION 1                                   PRODUCT AND COMPANY IDENTIFICATION</w:t>
            </w:r>
          </w:p>
        </w:tc>
      </w:tr>
    </w:tbl>
    <w:p w14:paraId="45BFA569" w14:textId="77777777" w:rsidR="00DD1A04" w:rsidRPr="00DD1A04" w:rsidRDefault="00DD1A04" w:rsidP="00DD1A04">
      <w:pPr>
        <w:spacing w:after="0" w:line="240" w:lineRule="auto"/>
        <w:rPr>
          <w:rFonts w:ascii="Century Gothic" w:hAnsi="Century Gothic"/>
          <w:sz w:val="24"/>
          <w:szCs w:val="24"/>
        </w:rPr>
      </w:pPr>
    </w:p>
    <w:p w14:paraId="64397EBD"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PRODUCT</w:t>
      </w:r>
    </w:p>
    <w:p w14:paraId="0CC01173"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sz w:val="24"/>
          <w:szCs w:val="24"/>
        </w:rPr>
        <w:tab/>
      </w:r>
      <w:r w:rsidRPr="00DD1A04">
        <w:rPr>
          <w:rFonts w:ascii="Century Gothic" w:hAnsi="Century Gothic"/>
          <w:b/>
          <w:sz w:val="24"/>
          <w:szCs w:val="24"/>
        </w:rPr>
        <w:t>Product Name:</w:t>
      </w:r>
      <w:r w:rsidRPr="00DD1A04">
        <w:rPr>
          <w:rFonts w:ascii="Century Gothic" w:hAnsi="Century Gothic"/>
          <w:sz w:val="24"/>
          <w:szCs w:val="24"/>
        </w:rPr>
        <w:t xml:space="preserve"> </w:t>
      </w:r>
      <w:r w:rsidR="00683607">
        <w:rPr>
          <w:rFonts w:ascii="Century Gothic" w:hAnsi="Century Gothic"/>
          <w:sz w:val="24"/>
          <w:szCs w:val="24"/>
        </w:rPr>
        <w:t>Beacon Type F ATF</w:t>
      </w:r>
      <w:r>
        <w:rPr>
          <w:rFonts w:ascii="Century Gothic" w:hAnsi="Century Gothic"/>
          <w:b/>
          <w:sz w:val="24"/>
          <w:szCs w:val="24"/>
        </w:rPr>
        <w:t xml:space="preserve"> </w:t>
      </w:r>
    </w:p>
    <w:p w14:paraId="3F6A14C3"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b/>
          <w:sz w:val="24"/>
          <w:szCs w:val="24"/>
        </w:rPr>
        <w:t>Product Description:</w:t>
      </w:r>
      <w:r w:rsidRPr="00DD1A04">
        <w:rPr>
          <w:rFonts w:ascii="Century Gothic" w:hAnsi="Century Gothic"/>
          <w:sz w:val="24"/>
          <w:szCs w:val="24"/>
        </w:rPr>
        <w:t xml:space="preserve"> Base Oil and Additives </w:t>
      </w:r>
    </w:p>
    <w:p w14:paraId="63AB4837"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b/>
          <w:sz w:val="24"/>
          <w:szCs w:val="24"/>
        </w:rPr>
        <w:t>Intended Use:</w:t>
      </w:r>
      <w:r w:rsidRPr="00DD1A04">
        <w:rPr>
          <w:rFonts w:ascii="Century Gothic" w:hAnsi="Century Gothic"/>
          <w:sz w:val="24"/>
          <w:szCs w:val="24"/>
        </w:rPr>
        <w:t xml:space="preserve"> </w:t>
      </w:r>
      <w:r>
        <w:rPr>
          <w:rFonts w:ascii="Century Gothic" w:hAnsi="Century Gothic"/>
          <w:sz w:val="24"/>
          <w:szCs w:val="24"/>
        </w:rPr>
        <w:t>Automatic transmission f</w:t>
      </w:r>
      <w:r w:rsidRPr="00DD1A04">
        <w:rPr>
          <w:rFonts w:ascii="Century Gothic" w:hAnsi="Century Gothic"/>
          <w:sz w:val="24"/>
          <w:szCs w:val="24"/>
        </w:rPr>
        <w:t>luid</w:t>
      </w:r>
    </w:p>
    <w:p w14:paraId="3CFE5BD8" w14:textId="77777777" w:rsidR="00DD1A04" w:rsidRPr="00DD1A04" w:rsidRDefault="00DD1A04" w:rsidP="00DD1A04">
      <w:pPr>
        <w:spacing w:after="0" w:line="240" w:lineRule="auto"/>
        <w:rPr>
          <w:rFonts w:ascii="Century Gothic" w:hAnsi="Century Gothic"/>
          <w:sz w:val="24"/>
          <w:szCs w:val="24"/>
        </w:rPr>
      </w:pPr>
    </w:p>
    <w:p w14:paraId="05163C99"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COMPANY IDENTIFICATION</w:t>
      </w:r>
    </w:p>
    <w:p w14:paraId="411F65DD"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b/>
          <w:sz w:val="24"/>
          <w:szCs w:val="24"/>
        </w:rPr>
        <w:t>Supplier:</w:t>
      </w:r>
      <w:r w:rsidRPr="00DD1A04">
        <w:rPr>
          <w:rFonts w:ascii="Century Gothic" w:hAnsi="Century Gothic"/>
          <w:sz w:val="24"/>
          <w:szCs w:val="24"/>
        </w:rPr>
        <w:tab/>
        <w:t>Beacon Lubricants</w:t>
      </w:r>
    </w:p>
    <w:p w14:paraId="6C93B689"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sz w:val="24"/>
          <w:szCs w:val="24"/>
        </w:rPr>
        <w:tab/>
      </w:r>
      <w:r w:rsidRPr="00DD1A04">
        <w:rPr>
          <w:rFonts w:ascii="Century Gothic" w:hAnsi="Century Gothic"/>
          <w:sz w:val="24"/>
          <w:szCs w:val="24"/>
        </w:rPr>
        <w:tab/>
        <w:t>P.O Box 754</w:t>
      </w:r>
    </w:p>
    <w:p w14:paraId="79CE8B25"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sz w:val="24"/>
          <w:szCs w:val="24"/>
        </w:rPr>
        <w:tab/>
      </w:r>
      <w:r w:rsidRPr="00DD1A04">
        <w:rPr>
          <w:rFonts w:ascii="Century Gothic" w:hAnsi="Century Gothic"/>
          <w:sz w:val="24"/>
          <w:szCs w:val="24"/>
        </w:rPr>
        <w:tab/>
        <w:t>Edinboro, PA 16412</w:t>
      </w:r>
    </w:p>
    <w:p w14:paraId="03BD0182" w14:textId="77777777" w:rsidR="00DD1A04" w:rsidRPr="00DD1A04" w:rsidRDefault="00DD1A04" w:rsidP="00DD1A04">
      <w:pPr>
        <w:spacing w:after="0" w:line="240" w:lineRule="auto"/>
        <w:rPr>
          <w:rFonts w:ascii="Century Gothic" w:hAnsi="Century Gothic"/>
          <w:sz w:val="24"/>
          <w:szCs w:val="24"/>
        </w:rPr>
      </w:pPr>
    </w:p>
    <w:p w14:paraId="04EF7D78"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b/>
          <w:sz w:val="24"/>
          <w:szCs w:val="24"/>
        </w:rPr>
        <w:t>Emergency Telephone:</w:t>
      </w:r>
      <w:r w:rsidRPr="00DD1A04">
        <w:rPr>
          <w:rFonts w:ascii="Century Gothic" w:hAnsi="Century Gothic"/>
          <w:sz w:val="24"/>
          <w:szCs w:val="24"/>
        </w:rPr>
        <w:tab/>
        <w:t>1-877-734-7334 – Beacon Lubricants, Inc.</w:t>
      </w:r>
      <w:r w:rsidRPr="00DD1A04">
        <w:rPr>
          <w:rFonts w:ascii="Century Gothic" w:hAnsi="Century Gothic"/>
          <w:sz w:val="24"/>
          <w:szCs w:val="24"/>
        </w:rPr>
        <w:br/>
      </w:r>
      <w:r w:rsidRPr="00DD1A04">
        <w:rPr>
          <w:rFonts w:ascii="Century Gothic" w:hAnsi="Century Gothic"/>
          <w:b/>
          <w:sz w:val="24"/>
          <w:szCs w:val="24"/>
        </w:rPr>
        <w:t>Emergency Telephone:</w:t>
      </w:r>
      <w:r w:rsidRPr="00DD1A04">
        <w:rPr>
          <w:rFonts w:ascii="Century Gothic" w:hAnsi="Century Gothic"/>
          <w:sz w:val="24"/>
          <w:szCs w:val="24"/>
        </w:rPr>
        <w:t xml:space="preserve"> </w:t>
      </w:r>
      <w:r w:rsidRPr="00DD1A04">
        <w:rPr>
          <w:rFonts w:ascii="Century Gothic" w:hAnsi="Century Gothic"/>
          <w:sz w:val="24"/>
          <w:szCs w:val="24"/>
        </w:rPr>
        <w:tab/>
        <w:t xml:space="preserve">1-800-424-9300 (24 hours) – Chemtrec approval </w:t>
      </w:r>
    </w:p>
    <w:p w14:paraId="72AD22A2" w14:textId="77777777" w:rsidR="00DD1A04" w:rsidRDefault="0047289D" w:rsidP="00DD1A04">
      <w:pPr>
        <w:spacing w:after="240" w:line="240" w:lineRule="auto"/>
        <w:rPr>
          <w:rFonts w:ascii="Century Gothic" w:eastAsia="Times New Roman" w:hAnsi="Century Gothic" w:cs="Times New Roman"/>
          <w:sz w:val="24"/>
          <w:szCs w:val="24"/>
        </w:rPr>
      </w:pPr>
      <w:r w:rsidRPr="0047289D">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36B80FAA"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771689F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4E3DD07D" w14:textId="77777777" w:rsidR="00447BE7" w:rsidRDefault="00447BE7"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DD1A04">
        <w:rPr>
          <w:rFonts w:ascii="Century Gothic" w:eastAsia="Times New Roman" w:hAnsi="Century Gothic" w:cs="Times New Roman"/>
          <w:sz w:val="24"/>
          <w:szCs w:val="24"/>
        </w:rPr>
        <w:t>hazardous according to regulatory guidelines (M)SDS Section 15)</w:t>
      </w:r>
    </w:p>
    <w:p w14:paraId="34741C2F" w14:textId="77777777" w:rsidR="00447BE7" w:rsidRPr="00447BE7" w:rsidRDefault="00447BE7" w:rsidP="00DD1A04">
      <w:pPr>
        <w:spacing w:after="240" w:line="240" w:lineRule="auto"/>
        <w:rPr>
          <w:rFonts w:ascii="Century Gothic" w:eastAsia="Times New Roman" w:hAnsi="Century Gothic" w:cs="Times New Roman"/>
          <w:b/>
          <w:sz w:val="24"/>
          <w:szCs w:val="24"/>
        </w:rPr>
      </w:pPr>
      <w:r w:rsidRPr="00447BE7">
        <w:rPr>
          <w:rFonts w:ascii="Century Gothic" w:eastAsia="Times New Roman" w:hAnsi="Century Gothic" w:cs="Times New Roman"/>
          <w:b/>
          <w:sz w:val="24"/>
          <w:szCs w:val="24"/>
        </w:rPr>
        <w:t>CLASSIFICATION:</w:t>
      </w:r>
    </w:p>
    <w:p w14:paraId="656A0991" w14:textId="77777777" w:rsidR="00447BE7" w:rsidRDefault="00447BE7" w:rsidP="00DD1A04">
      <w:pPr>
        <w:spacing w:after="240" w:line="240" w:lineRule="auto"/>
        <w:rPr>
          <w:rFonts w:ascii="Century Gothic" w:eastAsia="Times New Roman" w:hAnsi="Century Gothic" w:cs="Times New Roman"/>
          <w:sz w:val="24"/>
          <w:szCs w:val="24"/>
        </w:rPr>
      </w:pPr>
      <w:r w:rsidRPr="00447BE7">
        <w:rPr>
          <w:rFonts w:ascii="Century Gothic" w:eastAsia="Times New Roman" w:hAnsi="Century Gothic" w:cs="Times New Roman"/>
          <w:b/>
          <w:sz w:val="24"/>
          <w:szCs w:val="24"/>
        </w:rPr>
        <w:t>Skin Sensitizer:</w:t>
      </w:r>
      <w:r>
        <w:rPr>
          <w:rFonts w:ascii="Century Gothic" w:eastAsia="Times New Roman" w:hAnsi="Century Gothic" w:cs="Times New Roman"/>
          <w:sz w:val="24"/>
          <w:szCs w:val="24"/>
        </w:rPr>
        <w:t xml:space="preserve"> Category 1</w:t>
      </w:r>
    </w:p>
    <w:p w14:paraId="2FFDFF5B" w14:textId="77777777" w:rsidR="00447BE7" w:rsidRPr="00447BE7" w:rsidRDefault="00447BE7" w:rsidP="00DD1A04">
      <w:pPr>
        <w:spacing w:after="240" w:line="240" w:lineRule="auto"/>
        <w:rPr>
          <w:rFonts w:ascii="Century Gothic" w:eastAsia="Times New Roman" w:hAnsi="Century Gothic" w:cs="Times New Roman"/>
          <w:b/>
          <w:sz w:val="24"/>
          <w:szCs w:val="24"/>
        </w:rPr>
      </w:pPr>
      <w:r w:rsidRPr="00447BE7">
        <w:rPr>
          <w:rFonts w:ascii="Century Gothic" w:eastAsia="Times New Roman" w:hAnsi="Century Gothic" w:cs="Times New Roman"/>
          <w:b/>
          <w:sz w:val="24"/>
          <w:szCs w:val="24"/>
        </w:rPr>
        <w:t>LABEL:</w:t>
      </w:r>
    </w:p>
    <w:p w14:paraId="3E3A0D51" w14:textId="77777777" w:rsidR="00447BE7" w:rsidRDefault="00447BE7" w:rsidP="00DD1A04">
      <w:pPr>
        <w:spacing w:after="240" w:line="240" w:lineRule="auto"/>
        <w:rPr>
          <w:rFonts w:ascii="Century Gothic" w:eastAsia="Times New Roman" w:hAnsi="Century Gothic" w:cs="Times New Roman"/>
          <w:b/>
          <w:sz w:val="24"/>
          <w:szCs w:val="24"/>
        </w:rPr>
      </w:pPr>
      <w:r w:rsidRPr="00447BE7">
        <w:rPr>
          <w:rFonts w:ascii="Century Gothic" w:eastAsia="Times New Roman" w:hAnsi="Century Gothic" w:cs="Times New Roman"/>
          <w:b/>
          <w:sz w:val="24"/>
          <w:szCs w:val="24"/>
        </w:rPr>
        <w:t>Pictogram:</w:t>
      </w:r>
    </w:p>
    <w:p w14:paraId="541DAC4C" w14:textId="77777777" w:rsidR="00447BE7" w:rsidRDefault="00447BE7"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650E7659" wp14:editId="76DF2B77">
            <wp:extent cx="753414" cy="753414"/>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09" cy="754009"/>
                    </a:xfrm>
                    <a:prstGeom prst="rect">
                      <a:avLst/>
                    </a:prstGeom>
                  </pic:spPr>
                </pic:pic>
              </a:graphicData>
            </a:graphic>
          </wp:inline>
        </w:drawing>
      </w:r>
    </w:p>
    <w:p w14:paraId="1167D194" w14:textId="77777777" w:rsidR="00447BE7" w:rsidRPr="00447BE7"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b/>
          <w:sz w:val="24"/>
          <w:szCs w:val="24"/>
        </w:rPr>
        <w:t>Signal Word:</w:t>
      </w:r>
      <w:r w:rsidRPr="00447BE7">
        <w:rPr>
          <w:rFonts w:ascii="Century Gothic" w:eastAsia="Times New Roman" w:hAnsi="Century Gothic"/>
          <w:sz w:val="24"/>
          <w:szCs w:val="24"/>
        </w:rPr>
        <w:t xml:space="preserve"> Warning</w:t>
      </w:r>
    </w:p>
    <w:p w14:paraId="56DFD8CE" w14:textId="77777777" w:rsidR="00447BE7" w:rsidRPr="00447BE7" w:rsidRDefault="00447BE7" w:rsidP="00447BE7">
      <w:pPr>
        <w:pStyle w:val="NoSpacing"/>
        <w:rPr>
          <w:rFonts w:ascii="Century Gothic" w:eastAsia="Times New Roman" w:hAnsi="Century Gothic"/>
          <w:b/>
          <w:sz w:val="24"/>
          <w:szCs w:val="24"/>
        </w:rPr>
      </w:pPr>
      <w:r w:rsidRPr="00447BE7">
        <w:rPr>
          <w:rFonts w:ascii="Century Gothic" w:eastAsia="Times New Roman" w:hAnsi="Century Gothic"/>
          <w:b/>
          <w:sz w:val="24"/>
          <w:szCs w:val="24"/>
        </w:rPr>
        <w:t>Hazard Statements:</w:t>
      </w:r>
    </w:p>
    <w:p w14:paraId="648D3FF5" w14:textId="77777777" w:rsidR="00447BE7"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sz w:val="24"/>
          <w:szCs w:val="24"/>
        </w:rPr>
        <w:t>H317</w:t>
      </w:r>
      <w:r>
        <w:rPr>
          <w:rFonts w:ascii="Century Gothic" w:eastAsia="Times New Roman" w:hAnsi="Century Gothic"/>
          <w:sz w:val="24"/>
          <w:szCs w:val="24"/>
        </w:rPr>
        <w:t>: May cause allergic skin reaction.</w:t>
      </w:r>
    </w:p>
    <w:p w14:paraId="19DB9424" w14:textId="77777777" w:rsidR="00447BE7" w:rsidRDefault="00447BE7" w:rsidP="00447BE7">
      <w:pPr>
        <w:pStyle w:val="NoSpacing"/>
        <w:rPr>
          <w:rFonts w:ascii="Century Gothic" w:eastAsia="Times New Roman" w:hAnsi="Century Gothic"/>
          <w:sz w:val="24"/>
          <w:szCs w:val="24"/>
        </w:rPr>
      </w:pPr>
    </w:p>
    <w:p w14:paraId="17CEDF67" w14:textId="77777777" w:rsidR="00447BE7" w:rsidRPr="00447BE7"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b/>
          <w:sz w:val="24"/>
          <w:szCs w:val="24"/>
        </w:rPr>
        <w:t>Precautionary Statements:</w:t>
      </w:r>
      <w:r w:rsidRPr="00447BE7">
        <w:rPr>
          <w:rFonts w:ascii="Century Gothic" w:eastAsia="Times New Roman" w:hAnsi="Century Gothic"/>
          <w:sz w:val="24"/>
          <w:szCs w:val="24"/>
        </w:rPr>
        <w:t xml:space="preserve"> </w:t>
      </w:r>
    </w:p>
    <w:p w14:paraId="765D4057" w14:textId="77777777" w:rsidR="00E82F4C"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sz w:val="24"/>
          <w:szCs w:val="24"/>
        </w:rPr>
        <w:t>P101</w:t>
      </w:r>
      <w:r>
        <w:rPr>
          <w:rFonts w:ascii="Century Gothic" w:eastAsia="Times New Roman" w:hAnsi="Century Gothic"/>
          <w:sz w:val="24"/>
          <w:szCs w:val="24"/>
        </w:rPr>
        <w:t>: If medical advice is needed, have product container or label at hand. P102: Keep out of reach of children.</w:t>
      </w:r>
      <w:r w:rsidR="00893DDC">
        <w:rPr>
          <w:rFonts w:ascii="Century Gothic" w:eastAsia="Times New Roman" w:hAnsi="Century Gothic"/>
          <w:sz w:val="24"/>
          <w:szCs w:val="24"/>
        </w:rPr>
        <w:t xml:space="preserve"> P103: Read label before use. P261: Avoid </w:t>
      </w:r>
      <w:r w:rsidR="00893DDC">
        <w:rPr>
          <w:rFonts w:ascii="Century Gothic" w:eastAsia="Times New Roman" w:hAnsi="Century Gothic"/>
          <w:sz w:val="24"/>
          <w:szCs w:val="24"/>
        </w:rPr>
        <w:lastRenderedPageBreak/>
        <w:t xml:space="preserve">breathing mist/vapors. P272: Contaminated work clothing should not be allowed out of the work place. P273: </w:t>
      </w:r>
      <w:r w:rsidR="00E82F4C">
        <w:rPr>
          <w:rFonts w:ascii="Century Gothic" w:eastAsia="Times New Roman" w:hAnsi="Century Gothic"/>
          <w:sz w:val="24"/>
          <w:szCs w:val="24"/>
        </w:rPr>
        <w:t xml:space="preserve">Avoid release to the environment. P280: Wear protective gloves. P302 + P352: IF ON SKIN: Wash with plenty of soap and water. P333 + P313: If skin irritation or rash occurs: Get medical advice/attention. P501: Dispose of contents and container in accordance with local regulations. </w:t>
      </w:r>
    </w:p>
    <w:p w14:paraId="727A4635" w14:textId="77777777" w:rsidR="00E82F4C" w:rsidRDefault="00E82F4C" w:rsidP="00447BE7">
      <w:pPr>
        <w:pStyle w:val="NoSpacing"/>
        <w:rPr>
          <w:rFonts w:ascii="Century Gothic" w:eastAsia="Times New Roman" w:hAnsi="Century Gothic"/>
          <w:sz w:val="24"/>
          <w:szCs w:val="24"/>
        </w:rPr>
      </w:pPr>
    </w:p>
    <w:p w14:paraId="57E46227" w14:textId="77777777" w:rsidR="00DD1A04" w:rsidRDefault="00E82F4C" w:rsidP="00447BE7">
      <w:pPr>
        <w:pStyle w:val="NoSpacing"/>
        <w:rPr>
          <w:rFonts w:eastAsia="Times New Roman"/>
        </w:rPr>
      </w:pPr>
      <w:r>
        <w:rPr>
          <w:rFonts w:ascii="Century Gothic" w:eastAsia="Times New Roman" w:hAnsi="Century Gothic"/>
          <w:sz w:val="24"/>
          <w:szCs w:val="24"/>
        </w:rPr>
        <w:t>Contains: BIS(2-HYDROXTETHYL) TALLOW AMINE</w:t>
      </w:r>
      <w:r w:rsidR="00DD1A04" w:rsidRPr="00447BE7">
        <w:rPr>
          <w:rFonts w:ascii="Century Gothic" w:eastAsia="Times New Roman" w:hAnsi="Century Gothic"/>
          <w:sz w:val="24"/>
          <w:szCs w:val="24"/>
        </w:rPr>
        <w:br/>
      </w:r>
      <w:r w:rsidR="00DD1A04">
        <w:rPr>
          <w:rFonts w:eastAsia="Times New Roman"/>
        </w:rPr>
        <w:br/>
      </w:r>
      <w:r w:rsidR="00DD1A04" w:rsidRPr="00E82F4C">
        <w:rPr>
          <w:rFonts w:ascii="Century Gothic" w:eastAsia="Times New Roman" w:hAnsi="Century Gothic"/>
          <w:b/>
          <w:bCs/>
          <w:sz w:val="24"/>
          <w:szCs w:val="24"/>
        </w:rPr>
        <w:t>Other hazard information:</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bCs/>
          <w:sz w:val="24"/>
          <w:szCs w:val="24"/>
        </w:rPr>
        <w:br/>
      </w:r>
      <w:r w:rsidR="00DD1A04" w:rsidRPr="00447BE7">
        <w:rPr>
          <w:rFonts w:ascii="Century Gothic" w:eastAsia="Times New Roman" w:hAnsi="Century Gothic"/>
          <w:bCs/>
          <w:sz w:val="24"/>
          <w:szCs w:val="24"/>
        </w:rPr>
        <w:br/>
      </w:r>
      <w:r w:rsidR="00DD1A04" w:rsidRPr="00E82F4C">
        <w:rPr>
          <w:rFonts w:ascii="Century Gothic" w:eastAsia="Times New Roman" w:hAnsi="Century Gothic"/>
          <w:b/>
          <w:bCs/>
          <w:sz w:val="24"/>
          <w:szCs w:val="24"/>
        </w:rPr>
        <w:t>HAZARD NOT OTHERWISE CLASSIFIED (HNOC):</w:t>
      </w:r>
      <w:r w:rsidR="00DD1A04" w:rsidRPr="00447BE7">
        <w:rPr>
          <w:rFonts w:ascii="Century Gothic" w:eastAsia="Times New Roman" w:hAnsi="Century Gothic"/>
          <w:bCs/>
          <w:sz w:val="24"/>
          <w:szCs w:val="24"/>
        </w:rPr>
        <w:t xml:space="preserve">  </w:t>
      </w:r>
      <w:r w:rsidR="00DD1A04" w:rsidRPr="00447BE7">
        <w:rPr>
          <w:rFonts w:ascii="Century Gothic" w:eastAsia="Times New Roman" w:hAnsi="Century Gothic"/>
          <w:sz w:val="24"/>
          <w:szCs w:val="24"/>
        </w:rPr>
        <w:t>None as defined under 29 CFR 1900. 1200.</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sz w:val="24"/>
          <w:szCs w:val="24"/>
        </w:rPr>
        <w:br/>
      </w:r>
      <w:r w:rsidR="00DD1A04" w:rsidRPr="00447BE7">
        <w:rPr>
          <w:rFonts w:ascii="Century Gothic" w:eastAsia="Times New Roman" w:hAnsi="Century Gothic"/>
          <w:sz w:val="24"/>
          <w:szCs w:val="24"/>
        </w:rPr>
        <w:br/>
      </w:r>
      <w:r w:rsidR="00DD1A04" w:rsidRPr="00E82F4C">
        <w:rPr>
          <w:rFonts w:ascii="Century Gothic" w:eastAsia="Times New Roman" w:hAnsi="Century Gothic"/>
          <w:b/>
          <w:bCs/>
          <w:sz w:val="24"/>
          <w:szCs w:val="24"/>
        </w:rPr>
        <w:t>PHYSICAL / CHEMICAL HAZARDS</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sz w:val="24"/>
          <w:szCs w:val="24"/>
        </w:rPr>
        <w:br/>
        <w:t>No significant hazards</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bCs/>
          <w:sz w:val="24"/>
          <w:szCs w:val="24"/>
        </w:rPr>
        <w:br/>
      </w:r>
      <w:r w:rsidR="00DD1A04" w:rsidRPr="00447BE7">
        <w:rPr>
          <w:rFonts w:ascii="Century Gothic" w:eastAsia="Times New Roman" w:hAnsi="Century Gothic"/>
          <w:sz w:val="24"/>
          <w:szCs w:val="24"/>
        </w:rPr>
        <w:br/>
      </w:r>
      <w:r w:rsidR="00DD1A04" w:rsidRPr="00E82F4C">
        <w:rPr>
          <w:rFonts w:ascii="Century Gothic" w:eastAsia="Times New Roman" w:hAnsi="Century Gothic"/>
          <w:b/>
          <w:bCs/>
          <w:sz w:val="24"/>
          <w:szCs w:val="24"/>
        </w:rPr>
        <w:t>HEALTH HAZARDS</w:t>
      </w:r>
      <w:r w:rsidR="00DD1A04" w:rsidRPr="00447BE7">
        <w:rPr>
          <w:rFonts w:ascii="Century Gothic" w:eastAsia="Times New Roman" w:hAnsi="Century Gothic"/>
          <w:sz w:val="24"/>
          <w:szCs w:val="24"/>
        </w:rPr>
        <w:br/>
        <w:t>High-pressure injection under skin may cause serious damage. </w:t>
      </w:r>
      <w:r w:rsidR="00DD1A04" w:rsidRPr="00447BE7">
        <w:rPr>
          <w:rFonts w:ascii="Century Gothic" w:eastAsia="Times New Roman" w:hAnsi="Century Gothic"/>
          <w:sz w:val="24"/>
          <w:szCs w:val="24"/>
        </w:rPr>
        <w:br/>
        <w:t>Excessive exposure may result in eye, skin, or respiratory irritation. </w:t>
      </w:r>
      <w:r w:rsidR="00DD1A04" w:rsidRPr="00447BE7">
        <w:rPr>
          <w:rFonts w:ascii="Century Gothic" w:eastAsia="Times New Roman" w:hAnsi="Century Gothic"/>
          <w:sz w:val="24"/>
          <w:szCs w:val="24"/>
        </w:rPr>
        <w:br/>
      </w:r>
      <w:r w:rsidR="00DD1A04" w:rsidRPr="00E82F4C">
        <w:rPr>
          <w:rFonts w:ascii="Century Gothic" w:eastAsia="Times New Roman" w:hAnsi="Century Gothic"/>
          <w:b/>
          <w:sz w:val="24"/>
          <w:szCs w:val="24"/>
        </w:rPr>
        <w:br/>
      </w:r>
      <w:r w:rsidR="00DD1A04" w:rsidRPr="00E82F4C">
        <w:rPr>
          <w:rFonts w:ascii="Century Gothic" w:eastAsia="Times New Roman" w:hAnsi="Century Gothic"/>
          <w:b/>
          <w:bCs/>
          <w:sz w:val="24"/>
          <w:szCs w:val="24"/>
        </w:rPr>
        <w:t>ENVIRONMENTAL HAZARDS</w:t>
      </w:r>
      <w:r w:rsidR="00DD1A04" w:rsidRPr="00447BE7">
        <w:rPr>
          <w:rFonts w:ascii="Century Gothic" w:eastAsia="Times New Roman" w:hAnsi="Century Gothic"/>
          <w:sz w:val="24"/>
          <w:szCs w:val="24"/>
        </w:rPr>
        <w:br/>
        <w:t>No significant hazards. </w:t>
      </w:r>
      <w:r w:rsidR="00DD1A04" w:rsidRPr="00447BE7">
        <w:rPr>
          <w:rFonts w:ascii="Century Gothic" w:eastAsia="Times New Roman" w:hAnsi="Century Gothic"/>
          <w:sz w:val="24"/>
          <w:szCs w:val="24"/>
        </w:rPr>
        <w:br/>
      </w:r>
      <w:r w:rsidR="00DD1A04" w:rsidRPr="00447BE7">
        <w:rPr>
          <w:rFonts w:ascii="Century Gothic" w:eastAsia="Times New Roman" w:hAnsi="Century Gothic"/>
          <w:sz w:val="24"/>
          <w:szCs w:val="24"/>
        </w:rPr>
        <w:br/>
      </w:r>
      <w:r w:rsidR="00DD1A04" w:rsidRPr="00447BE7">
        <w:rPr>
          <w:rFonts w:ascii="Century Gothic" w:eastAsia="Times New Roman" w:hAnsi="Century Gothic"/>
          <w:bCs/>
          <w:sz w:val="24"/>
          <w:szCs w:val="24"/>
        </w:rPr>
        <w:t>NFPA Hazard ID:</w:t>
      </w:r>
      <w:r>
        <w:rPr>
          <w:rFonts w:ascii="Century Gothic" w:eastAsia="Times New Roman" w:hAnsi="Century Gothic"/>
          <w:sz w:val="24"/>
          <w:szCs w:val="24"/>
        </w:rPr>
        <w:t xml:space="preserve"> Health:     2</w:t>
      </w:r>
      <w:r w:rsidR="00DD1A04" w:rsidRPr="00447BE7">
        <w:rPr>
          <w:rFonts w:ascii="Century Gothic" w:eastAsia="Times New Roman" w:hAnsi="Century Gothic"/>
          <w:sz w:val="24"/>
          <w:szCs w:val="24"/>
        </w:rPr>
        <w:t xml:space="preserve"> </w:t>
      </w:r>
      <w:r>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 xml:space="preserve">Flammability:     1 </w:t>
      </w:r>
      <w:r>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Reactivity:     0</w:t>
      </w:r>
      <w:r w:rsidR="00DD1A04" w:rsidRPr="00447BE7">
        <w:rPr>
          <w:rFonts w:ascii="Century Gothic" w:eastAsia="Times New Roman" w:hAnsi="Century Gothic"/>
          <w:sz w:val="24"/>
          <w:szCs w:val="24"/>
        </w:rPr>
        <w:br/>
      </w:r>
      <w:r w:rsidR="00DD1A04" w:rsidRPr="00447BE7">
        <w:rPr>
          <w:rFonts w:ascii="Century Gothic" w:eastAsia="Times New Roman" w:hAnsi="Century Gothic"/>
          <w:bCs/>
          <w:sz w:val="24"/>
          <w:szCs w:val="24"/>
        </w:rPr>
        <w:t>HMIS Hazard  ID: </w:t>
      </w:r>
      <w:r>
        <w:rPr>
          <w:rFonts w:ascii="Century Gothic" w:eastAsia="Times New Roman" w:hAnsi="Century Gothic"/>
          <w:sz w:val="24"/>
          <w:szCs w:val="24"/>
        </w:rPr>
        <w:t xml:space="preserve"> Health:    2</w:t>
      </w:r>
      <w:r w:rsidR="00DD1A04" w:rsidRPr="00447BE7">
        <w:rPr>
          <w:rFonts w:ascii="Century Gothic" w:eastAsia="Times New Roman" w:hAnsi="Century Gothic"/>
          <w:sz w:val="24"/>
          <w:szCs w:val="24"/>
        </w:rPr>
        <w:t xml:space="preserve"> </w:t>
      </w:r>
      <w:r>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 xml:space="preserve">Flammability:     </w:t>
      </w:r>
      <w:r w:rsidR="00211E4A">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1 Reactivity:     0</w:t>
      </w:r>
    </w:p>
    <w:p w14:paraId="6F965898"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Note:</w:t>
      </w:r>
      <w:r>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75D1A4AB" w14:textId="77777777" w:rsidR="00E82F4C" w:rsidRDefault="00E82F4C" w:rsidP="00DD1A04">
      <w:pPr>
        <w:spacing w:after="240" w:line="240" w:lineRule="auto"/>
        <w:rPr>
          <w:rFonts w:ascii="Century Gothic" w:eastAsia="Times New Roman" w:hAnsi="Century Gothic" w:cs="Times New Roman"/>
          <w:sz w:val="24"/>
          <w:szCs w:val="24"/>
        </w:rPr>
      </w:pPr>
    </w:p>
    <w:p w14:paraId="06A7323B" w14:textId="77777777" w:rsidR="00E82F4C" w:rsidRDefault="00E82F4C" w:rsidP="00DD1A04">
      <w:pPr>
        <w:spacing w:after="240" w:line="240" w:lineRule="auto"/>
        <w:rPr>
          <w:rFonts w:ascii="Century Gothic" w:eastAsia="Times New Roman" w:hAnsi="Century Gothic" w:cs="Times New Roman"/>
          <w:sz w:val="24"/>
          <w:szCs w:val="24"/>
        </w:rPr>
      </w:pPr>
    </w:p>
    <w:p w14:paraId="573EA985" w14:textId="77777777" w:rsidR="00E82F4C" w:rsidRDefault="00E82F4C" w:rsidP="00DD1A04">
      <w:pPr>
        <w:spacing w:after="240" w:line="240" w:lineRule="auto"/>
        <w:rPr>
          <w:rFonts w:ascii="Century Gothic" w:eastAsia="Times New Roman" w:hAnsi="Century Gothic" w:cs="Times New Roman"/>
          <w:sz w:val="24"/>
          <w:szCs w:val="24"/>
        </w:rPr>
      </w:pPr>
    </w:p>
    <w:p w14:paraId="19FA33FA" w14:textId="77777777" w:rsidR="00E82F4C" w:rsidRDefault="00E82F4C" w:rsidP="00DD1A04">
      <w:pPr>
        <w:spacing w:after="240" w:line="240" w:lineRule="auto"/>
        <w:rPr>
          <w:rFonts w:ascii="Century Gothic" w:eastAsia="Times New Roman" w:hAnsi="Century Gothic" w:cs="Times New Roman"/>
          <w:sz w:val="24"/>
          <w:szCs w:val="24"/>
        </w:rPr>
      </w:pPr>
    </w:p>
    <w:p w14:paraId="2EA8BD70" w14:textId="77777777" w:rsidR="00E82F4C" w:rsidRDefault="00E82F4C" w:rsidP="00DD1A04">
      <w:pPr>
        <w:spacing w:after="240" w:line="240" w:lineRule="auto"/>
        <w:rPr>
          <w:rFonts w:ascii="Century Gothic" w:eastAsia="Times New Roman" w:hAnsi="Century Gothic" w:cs="Times New Roman"/>
          <w:sz w:val="24"/>
          <w:szCs w:val="24"/>
        </w:rPr>
      </w:pPr>
    </w:p>
    <w:p w14:paraId="1A782D55" w14:textId="77777777" w:rsidR="00E82F4C" w:rsidRDefault="00E82F4C" w:rsidP="00DD1A04">
      <w:pPr>
        <w:spacing w:after="240" w:line="240" w:lineRule="auto"/>
        <w:rPr>
          <w:rFonts w:ascii="Century Gothic" w:eastAsia="Times New Roman" w:hAnsi="Century Gothic" w:cs="Times New Roman"/>
          <w:sz w:val="24"/>
          <w:szCs w:val="24"/>
        </w:rPr>
      </w:pPr>
    </w:p>
    <w:p w14:paraId="0F6FDFD6" w14:textId="77777777" w:rsidR="00E82F4C" w:rsidRDefault="00E82F4C" w:rsidP="00DD1A04">
      <w:pPr>
        <w:spacing w:after="240" w:line="240" w:lineRule="auto"/>
        <w:rPr>
          <w:rFonts w:ascii="Century Gothic" w:eastAsia="Times New Roman" w:hAnsi="Century Gothic" w:cs="Times New Roman"/>
          <w:sz w:val="24"/>
          <w:szCs w:val="24"/>
        </w:rPr>
      </w:pPr>
    </w:p>
    <w:p w14:paraId="51EAD2EF" w14:textId="77777777" w:rsidR="00E82F4C" w:rsidRDefault="00E82F4C" w:rsidP="00DD1A04">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0"/>
      </w:tblGrid>
      <w:tr w:rsidR="00DD1A04" w14:paraId="101A3F36" w14:textId="77777777" w:rsidTr="00211E4A">
        <w:tc>
          <w:tcPr>
            <w:tcW w:w="9450" w:type="dxa"/>
            <w:tcBorders>
              <w:top w:val="nil"/>
              <w:left w:val="nil"/>
              <w:bottom w:val="nil"/>
              <w:right w:val="nil"/>
            </w:tcBorders>
            <w:shd w:val="clear" w:color="auto" w:fill="FF0000"/>
            <w:tcMar>
              <w:top w:w="0" w:type="dxa"/>
              <w:left w:w="108" w:type="dxa"/>
              <w:bottom w:w="0" w:type="dxa"/>
              <w:right w:w="108" w:type="dxa"/>
            </w:tcMar>
            <w:hideMark/>
          </w:tcPr>
          <w:p w14:paraId="38AAEB8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59F7B1B0" w14:textId="77777777" w:rsidR="00DD1A04" w:rsidRDefault="00DD1A04" w:rsidP="00DD1A04">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sz w:val="24"/>
          <w:szCs w:val="24"/>
        </w:rPr>
        <w:br/>
        <w:t>This material is defined as a mixture.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Substance(s) or Complex Substance(s) required for disclosure</w:t>
      </w:r>
    </w:p>
    <w:p w14:paraId="0E689A30" w14:textId="77777777" w:rsidR="00DD1A04" w:rsidRDefault="00DD1A04" w:rsidP="00DD1A04">
      <w:pPr>
        <w:spacing w:after="0" w:line="240" w:lineRule="auto"/>
        <w:rPr>
          <w:rFonts w:ascii="Century Gothic" w:eastAsia="Times New Roman" w:hAnsi="Century Gothic" w:cs="Times New Roman"/>
          <w:sz w:val="24"/>
          <w:szCs w:val="24"/>
        </w:rPr>
      </w:pPr>
    </w:p>
    <w:tbl>
      <w:tblPr>
        <w:tblStyle w:val="TableGrid"/>
        <w:tblW w:w="0" w:type="auto"/>
        <w:tblInd w:w="108" w:type="dxa"/>
        <w:tblLook w:val="04A0" w:firstRow="1" w:lastRow="0" w:firstColumn="1" w:lastColumn="0" w:noHBand="0" w:noVBand="1"/>
      </w:tblPr>
      <w:tblGrid>
        <w:gridCol w:w="3021"/>
        <w:gridCol w:w="2038"/>
        <w:gridCol w:w="2302"/>
        <w:gridCol w:w="2107"/>
      </w:tblGrid>
      <w:tr w:rsidR="00DD1A04" w14:paraId="58D29001"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5DEFD078"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541D6BCD"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CAS #</w:t>
            </w:r>
          </w:p>
        </w:tc>
        <w:tc>
          <w:tcPr>
            <w:tcW w:w="2394" w:type="dxa"/>
            <w:tcBorders>
              <w:top w:val="single" w:sz="4" w:space="0" w:color="auto"/>
              <w:left w:val="single" w:sz="4" w:space="0" w:color="auto"/>
              <w:bottom w:val="single" w:sz="4" w:space="0" w:color="auto"/>
              <w:right w:val="single" w:sz="4" w:space="0" w:color="auto"/>
            </w:tcBorders>
            <w:hideMark/>
          </w:tcPr>
          <w:p w14:paraId="07BD7A02"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Concentration*</w:t>
            </w:r>
          </w:p>
        </w:tc>
        <w:tc>
          <w:tcPr>
            <w:tcW w:w="2376" w:type="dxa"/>
            <w:tcBorders>
              <w:top w:val="single" w:sz="4" w:space="0" w:color="auto"/>
              <w:left w:val="single" w:sz="4" w:space="0" w:color="auto"/>
              <w:bottom w:val="single" w:sz="4" w:space="0" w:color="auto"/>
              <w:right w:val="single" w:sz="4" w:space="0" w:color="auto"/>
            </w:tcBorders>
            <w:hideMark/>
          </w:tcPr>
          <w:p w14:paraId="0AFE4CBC"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GHS Hazard Code</w:t>
            </w:r>
          </w:p>
        </w:tc>
      </w:tr>
      <w:tr w:rsidR="00DD1A04" w14:paraId="6D9243CA"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20EB49B0"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1H-IMIDAZOLE-1-ETHANOL, 2-(HEPTADECENYL)-4,5,DIHYDRO-</w:t>
            </w:r>
          </w:p>
        </w:tc>
        <w:tc>
          <w:tcPr>
            <w:tcW w:w="2394" w:type="dxa"/>
            <w:tcBorders>
              <w:top w:val="single" w:sz="4" w:space="0" w:color="auto"/>
              <w:left w:val="single" w:sz="4" w:space="0" w:color="auto"/>
              <w:bottom w:val="single" w:sz="4" w:space="0" w:color="auto"/>
              <w:right w:val="single" w:sz="4" w:space="0" w:color="auto"/>
            </w:tcBorders>
            <w:hideMark/>
          </w:tcPr>
          <w:p w14:paraId="7D7697CF"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27136-73-8</w:t>
            </w:r>
          </w:p>
        </w:tc>
        <w:tc>
          <w:tcPr>
            <w:tcW w:w="2394" w:type="dxa"/>
            <w:tcBorders>
              <w:top w:val="single" w:sz="4" w:space="0" w:color="auto"/>
              <w:left w:val="single" w:sz="4" w:space="0" w:color="auto"/>
              <w:bottom w:val="single" w:sz="4" w:space="0" w:color="auto"/>
              <w:right w:val="single" w:sz="4" w:space="0" w:color="auto"/>
            </w:tcBorders>
            <w:hideMark/>
          </w:tcPr>
          <w:p w14:paraId="49AAED37"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376" w:type="dxa"/>
            <w:tcBorders>
              <w:top w:val="single" w:sz="4" w:space="0" w:color="auto"/>
              <w:left w:val="single" w:sz="4" w:space="0" w:color="auto"/>
              <w:bottom w:val="single" w:sz="4" w:space="0" w:color="auto"/>
              <w:right w:val="single" w:sz="4" w:space="0" w:color="auto"/>
            </w:tcBorders>
            <w:hideMark/>
          </w:tcPr>
          <w:p w14:paraId="3D5B2B20" w14:textId="77777777" w:rsidR="00DD1A04"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H302, H314(1B), H400(M factor 1), H410(M factor 1)</w:t>
            </w:r>
          </w:p>
        </w:tc>
      </w:tr>
      <w:tr w:rsidR="00DD1A04" w14:paraId="6FA2B137"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1F3F7C12"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2-PROPANOL, 1-(TERT-DODECYLTHIO)-</w:t>
            </w:r>
          </w:p>
        </w:tc>
        <w:tc>
          <w:tcPr>
            <w:tcW w:w="2394" w:type="dxa"/>
            <w:tcBorders>
              <w:top w:val="single" w:sz="4" w:space="0" w:color="auto"/>
              <w:left w:val="single" w:sz="4" w:space="0" w:color="auto"/>
              <w:bottom w:val="single" w:sz="4" w:space="0" w:color="auto"/>
              <w:right w:val="single" w:sz="4" w:space="0" w:color="auto"/>
            </w:tcBorders>
            <w:hideMark/>
          </w:tcPr>
          <w:p w14:paraId="6187705D"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67124-09-8</w:t>
            </w:r>
          </w:p>
        </w:tc>
        <w:tc>
          <w:tcPr>
            <w:tcW w:w="2394" w:type="dxa"/>
            <w:tcBorders>
              <w:top w:val="single" w:sz="4" w:space="0" w:color="auto"/>
              <w:left w:val="single" w:sz="4" w:space="0" w:color="auto"/>
              <w:bottom w:val="single" w:sz="4" w:space="0" w:color="auto"/>
              <w:right w:val="single" w:sz="4" w:space="0" w:color="auto"/>
            </w:tcBorders>
            <w:hideMark/>
          </w:tcPr>
          <w:p w14:paraId="23EE97F9"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1</w:t>
            </w:r>
            <w:r w:rsidR="00E84ED5">
              <w:rPr>
                <w:rFonts w:ascii="Century Gothic" w:eastAsia="Times New Roman" w:hAnsi="Century Gothic" w:cs="Times New Roman"/>
                <w:sz w:val="24"/>
                <w:szCs w:val="24"/>
              </w:rPr>
              <w:t xml:space="preserve"> – 2.5</w:t>
            </w:r>
            <w:r w:rsidR="00DD1A04">
              <w:rPr>
                <w:rFonts w:ascii="Century Gothic" w:eastAsia="Times New Roman" w:hAnsi="Century Gothic" w:cs="Times New Roman"/>
                <w:sz w:val="24"/>
                <w:szCs w:val="24"/>
              </w:rPr>
              <w:t xml:space="preserve"> %</w:t>
            </w:r>
          </w:p>
        </w:tc>
        <w:tc>
          <w:tcPr>
            <w:tcW w:w="2376" w:type="dxa"/>
            <w:tcBorders>
              <w:top w:val="single" w:sz="4" w:space="0" w:color="auto"/>
              <w:left w:val="single" w:sz="4" w:space="0" w:color="auto"/>
              <w:bottom w:val="single" w:sz="4" w:space="0" w:color="auto"/>
              <w:right w:val="single" w:sz="4" w:space="0" w:color="auto"/>
            </w:tcBorders>
            <w:hideMark/>
          </w:tcPr>
          <w:p w14:paraId="1348EC6C" w14:textId="77777777" w:rsidR="00DD1A04" w:rsidRDefault="00E84ED5" w:rsidP="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H317, H400 (M factor 1), H410(M factor 1)</w:t>
            </w:r>
          </w:p>
        </w:tc>
      </w:tr>
      <w:tr w:rsidR="00DD1A04" w14:paraId="17216998"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4F757DD8"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BENZENAMINE, AR-NONYL-N-(NONYL PHENYL)-</w:t>
            </w:r>
          </w:p>
        </w:tc>
        <w:tc>
          <w:tcPr>
            <w:tcW w:w="2394" w:type="dxa"/>
            <w:tcBorders>
              <w:top w:val="single" w:sz="4" w:space="0" w:color="auto"/>
              <w:left w:val="single" w:sz="4" w:space="0" w:color="auto"/>
              <w:bottom w:val="single" w:sz="4" w:space="0" w:color="auto"/>
              <w:right w:val="single" w:sz="4" w:space="0" w:color="auto"/>
            </w:tcBorders>
            <w:hideMark/>
          </w:tcPr>
          <w:p w14:paraId="6969B2D7"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36878-20-3</w:t>
            </w:r>
          </w:p>
        </w:tc>
        <w:tc>
          <w:tcPr>
            <w:tcW w:w="2394" w:type="dxa"/>
            <w:tcBorders>
              <w:top w:val="single" w:sz="4" w:space="0" w:color="auto"/>
              <w:left w:val="single" w:sz="4" w:space="0" w:color="auto"/>
              <w:bottom w:val="single" w:sz="4" w:space="0" w:color="auto"/>
              <w:right w:val="single" w:sz="4" w:space="0" w:color="auto"/>
            </w:tcBorders>
            <w:hideMark/>
          </w:tcPr>
          <w:p w14:paraId="16FEC71D" w14:textId="77777777" w:rsidR="00DD1A04"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1 - &lt; 5%</w:t>
            </w:r>
          </w:p>
        </w:tc>
        <w:tc>
          <w:tcPr>
            <w:tcW w:w="2376" w:type="dxa"/>
            <w:tcBorders>
              <w:top w:val="single" w:sz="4" w:space="0" w:color="auto"/>
              <w:left w:val="single" w:sz="4" w:space="0" w:color="auto"/>
              <w:bottom w:val="single" w:sz="4" w:space="0" w:color="auto"/>
              <w:right w:val="single" w:sz="4" w:space="0" w:color="auto"/>
            </w:tcBorders>
            <w:hideMark/>
          </w:tcPr>
          <w:p w14:paraId="47295151" w14:textId="77777777" w:rsidR="00DD1A04"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H413</w:t>
            </w:r>
          </w:p>
        </w:tc>
      </w:tr>
      <w:tr w:rsidR="00E82F4C" w14:paraId="43F4EBCD" w14:textId="77777777" w:rsidTr="00211E4A">
        <w:tc>
          <w:tcPr>
            <w:tcW w:w="2286" w:type="dxa"/>
            <w:tcBorders>
              <w:top w:val="single" w:sz="4" w:space="0" w:color="auto"/>
              <w:left w:val="single" w:sz="4" w:space="0" w:color="auto"/>
              <w:bottom w:val="single" w:sz="4" w:space="0" w:color="auto"/>
              <w:right w:val="single" w:sz="4" w:space="0" w:color="auto"/>
            </w:tcBorders>
          </w:tcPr>
          <w:p w14:paraId="77DCA589"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BIS(2-HYDROXYETHYL)TALLOW AMINE</w:t>
            </w:r>
          </w:p>
        </w:tc>
        <w:tc>
          <w:tcPr>
            <w:tcW w:w="2394" w:type="dxa"/>
            <w:tcBorders>
              <w:top w:val="single" w:sz="4" w:space="0" w:color="auto"/>
              <w:left w:val="single" w:sz="4" w:space="0" w:color="auto"/>
              <w:bottom w:val="single" w:sz="4" w:space="0" w:color="auto"/>
              <w:right w:val="single" w:sz="4" w:space="0" w:color="auto"/>
            </w:tcBorders>
          </w:tcPr>
          <w:p w14:paraId="66C7773F"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61791-44-4</w:t>
            </w:r>
          </w:p>
        </w:tc>
        <w:tc>
          <w:tcPr>
            <w:tcW w:w="2394" w:type="dxa"/>
            <w:tcBorders>
              <w:top w:val="single" w:sz="4" w:space="0" w:color="auto"/>
              <w:left w:val="single" w:sz="4" w:space="0" w:color="auto"/>
              <w:bottom w:val="single" w:sz="4" w:space="0" w:color="auto"/>
              <w:right w:val="single" w:sz="4" w:space="0" w:color="auto"/>
            </w:tcBorders>
          </w:tcPr>
          <w:p w14:paraId="0D369D1B"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0.1 - &lt; 0.25%</w:t>
            </w:r>
          </w:p>
        </w:tc>
        <w:tc>
          <w:tcPr>
            <w:tcW w:w="2376" w:type="dxa"/>
            <w:tcBorders>
              <w:top w:val="single" w:sz="4" w:space="0" w:color="auto"/>
              <w:left w:val="single" w:sz="4" w:space="0" w:color="auto"/>
              <w:bottom w:val="single" w:sz="4" w:space="0" w:color="auto"/>
              <w:right w:val="single" w:sz="4" w:space="0" w:color="auto"/>
            </w:tcBorders>
          </w:tcPr>
          <w:p w14:paraId="0335D9E6"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H302, H317, H330(2), H314(1B), H400(M factor 10)</w:t>
            </w:r>
          </w:p>
        </w:tc>
      </w:tr>
      <w:tr w:rsidR="00E82F4C" w14:paraId="594F59CB" w14:textId="77777777" w:rsidTr="00211E4A">
        <w:tc>
          <w:tcPr>
            <w:tcW w:w="2286" w:type="dxa"/>
            <w:tcBorders>
              <w:top w:val="single" w:sz="4" w:space="0" w:color="auto"/>
              <w:left w:val="single" w:sz="4" w:space="0" w:color="auto"/>
              <w:bottom w:val="single" w:sz="4" w:space="0" w:color="auto"/>
              <w:right w:val="single" w:sz="4" w:space="0" w:color="auto"/>
            </w:tcBorders>
          </w:tcPr>
          <w:p w14:paraId="2606E780"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DIPHENLAMINE</w:t>
            </w:r>
          </w:p>
        </w:tc>
        <w:tc>
          <w:tcPr>
            <w:tcW w:w="2394" w:type="dxa"/>
            <w:tcBorders>
              <w:top w:val="single" w:sz="4" w:space="0" w:color="auto"/>
              <w:left w:val="single" w:sz="4" w:space="0" w:color="auto"/>
              <w:bottom w:val="single" w:sz="4" w:space="0" w:color="auto"/>
              <w:right w:val="single" w:sz="4" w:space="0" w:color="auto"/>
            </w:tcBorders>
          </w:tcPr>
          <w:p w14:paraId="71EBE3AD"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122-39-4</w:t>
            </w:r>
          </w:p>
        </w:tc>
        <w:tc>
          <w:tcPr>
            <w:tcW w:w="2394" w:type="dxa"/>
            <w:tcBorders>
              <w:top w:val="single" w:sz="4" w:space="0" w:color="auto"/>
              <w:left w:val="single" w:sz="4" w:space="0" w:color="auto"/>
              <w:bottom w:val="single" w:sz="4" w:space="0" w:color="auto"/>
              <w:right w:val="single" w:sz="4" w:space="0" w:color="auto"/>
            </w:tcBorders>
          </w:tcPr>
          <w:p w14:paraId="018A5D50"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376" w:type="dxa"/>
            <w:tcBorders>
              <w:top w:val="single" w:sz="4" w:space="0" w:color="auto"/>
              <w:left w:val="single" w:sz="4" w:space="0" w:color="auto"/>
              <w:bottom w:val="single" w:sz="4" w:space="0" w:color="auto"/>
              <w:right w:val="single" w:sz="4" w:space="0" w:color="auto"/>
            </w:tcBorders>
          </w:tcPr>
          <w:p w14:paraId="342A641C"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H301, H311, H331, H373, H400(M factor 1), H410(M factor 1)</w:t>
            </w:r>
          </w:p>
        </w:tc>
      </w:tr>
      <w:tr w:rsidR="00E82F4C" w14:paraId="1D53B155" w14:textId="77777777" w:rsidTr="00211E4A">
        <w:tc>
          <w:tcPr>
            <w:tcW w:w="2286" w:type="dxa"/>
            <w:tcBorders>
              <w:top w:val="single" w:sz="4" w:space="0" w:color="auto"/>
              <w:left w:val="single" w:sz="4" w:space="0" w:color="auto"/>
              <w:bottom w:val="single" w:sz="4" w:space="0" w:color="auto"/>
              <w:right w:val="single" w:sz="4" w:space="0" w:color="auto"/>
            </w:tcBorders>
          </w:tcPr>
          <w:p w14:paraId="54349AFF"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LIGHT PARAFFINIC DISTILLATES, PETROLEUM</w:t>
            </w:r>
          </w:p>
        </w:tc>
        <w:tc>
          <w:tcPr>
            <w:tcW w:w="2394" w:type="dxa"/>
            <w:tcBorders>
              <w:top w:val="single" w:sz="4" w:space="0" w:color="auto"/>
              <w:left w:val="single" w:sz="4" w:space="0" w:color="auto"/>
              <w:bottom w:val="single" w:sz="4" w:space="0" w:color="auto"/>
              <w:right w:val="single" w:sz="4" w:space="0" w:color="auto"/>
            </w:tcBorders>
          </w:tcPr>
          <w:p w14:paraId="012B0D7F"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64742-55-8</w:t>
            </w:r>
          </w:p>
        </w:tc>
        <w:tc>
          <w:tcPr>
            <w:tcW w:w="2394" w:type="dxa"/>
            <w:tcBorders>
              <w:top w:val="single" w:sz="4" w:space="0" w:color="auto"/>
              <w:left w:val="single" w:sz="4" w:space="0" w:color="auto"/>
              <w:bottom w:val="single" w:sz="4" w:space="0" w:color="auto"/>
              <w:right w:val="single" w:sz="4" w:space="0" w:color="auto"/>
            </w:tcBorders>
          </w:tcPr>
          <w:p w14:paraId="6BB160FB"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10 - &lt; 20 %</w:t>
            </w:r>
          </w:p>
        </w:tc>
        <w:tc>
          <w:tcPr>
            <w:tcW w:w="2376" w:type="dxa"/>
            <w:tcBorders>
              <w:top w:val="single" w:sz="4" w:space="0" w:color="auto"/>
              <w:left w:val="single" w:sz="4" w:space="0" w:color="auto"/>
              <w:bottom w:val="single" w:sz="4" w:space="0" w:color="auto"/>
              <w:right w:val="single" w:sz="4" w:space="0" w:color="auto"/>
            </w:tcBorders>
          </w:tcPr>
          <w:p w14:paraId="0EE25E98"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r w:rsidR="00E82F4C" w14:paraId="21747707" w14:textId="77777777" w:rsidTr="00211E4A">
        <w:tc>
          <w:tcPr>
            <w:tcW w:w="2286" w:type="dxa"/>
            <w:tcBorders>
              <w:top w:val="single" w:sz="4" w:space="0" w:color="auto"/>
              <w:left w:val="single" w:sz="4" w:space="0" w:color="auto"/>
              <w:bottom w:val="single" w:sz="4" w:space="0" w:color="auto"/>
              <w:right w:val="single" w:sz="4" w:space="0" w:color="auto"/>
            </w:tcBorders>
          </w:tcPr>
          <w:p w14:paraId="2EC6C1A0"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SOLVENT DEWAXED LIGHT PARAFFINC DISTILLATE (PETROLEUM)</w:t>
            </w:r>
          </w:p>
        </w:tc>
        <w:tc>
          <w:tcPr>
            <w:tcW w:w="2394" w:type="dxa"/>
            <w:tcBorders>
              <w:top w:val="single" w:sz="4" w:space="0" w:color="auto"/>
              <w:left w:val="single" w:sz="4" w:space="0" w:color="auto"/>
              <w:bottom w:val="single" w:sz="4" w:space="0" w:color="auto"/>
              <w:right w:val="single" w:sz="4" w:space="0" w:color="auto"/>
            </w:tcBorders>
          </w:tcPr>
          <w:p w14:paraId="19FEF65D"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64742-56-9</w:t>
            </w:r>
          </w:p>
        </w:tc>
        <w:tc>
          <w:tcPr>
            <w:tcW w:w="2394" w:type="dxa"/>
            <w:tcBorders>
              <w:top w:val="single" w:sz="4" w:space="0" w:color="auto"/>
              <w:left w:val="single" w:sz="4" w:space="0" w:color="auto"/>
              <w:bottom w:val="single" w:sz="4" w:space="0" w:color="auto"/>
              <w:right w:val="single" w:sz="4" w:space="0" w:color="auto"/>
            </w:tcBorders>
          </w:tcPr>
          <w:p w14:paraId="653DFC17"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70 - &lt; 80 %</w:t>
            </w:r>
          </w:p>
        </w:tc>
        <w:tc>
          <w:tcPr>
            <w:tcW w:w="2376" w:type="dxa"/>
            <w:tcBorders>
              <w:top w:val="single" w:sz="4" w:space="0" w:color="auto"/>
              <w:left w:val="single" w:sz="4" w:space="0" w:color="auto"/>
              <w:bottom w:val="single" w:sz="4" w:space="0" w:color="auto"/>
              <w:right w:val="single" w:sz="4" w:space="0" w:color="auto"/>
            </w:tcBorders>
          </w:tcPr>
          <w:p w14:paraId="15FCE1F0"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0C06FBEC" w14:textId="77777777" w:rsidR="00DD1A04" w:rsidRDefault="00DD1A04" w:rsidP="00DD1A04">
      <w:pPr>
        <w:spacing w:after="0" w:line="240" w:lineRule="auto"/>
        <w:rPr>
          <w:rFonts w:ascii="Century Gothic" w:eastAsia="Times New Roman" w:hAnsi="Century Gothic" w:cs="Times New Roman"/>
          <w:sz w:val="24"/>
          <w:szCs w:val="24"/>
        </w:rPr>
      </w:pPr>
    </w:p>
    <w:p w14:paraId="02FB3EF1"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*All Concentrations are percent by weight unless material is a gas. Gas concentration are in the percent by volume. </w:t>
      </w:r>
    </w:p>
    <w:p w14:paraId="7BAA4B7C" w14:textId="77777777" w:rsidR="00DD1A04" w:rsidRDefault="00DD1A04" w:rsidP="00DD1A04">
      <w:pPr>
        <w:spacing w:after="0" w:line="240" w:lineRule="auto"/>
        <w:rPr>
          <w:rFonts w:ascii="Century Gothic" w:eastAsia="Times New Roman" w:hAnsi="Century Gothic" w:cs="Times New Roman"/>
          <w:sz w:val="24"/>
          <w:szCs w:val="24"/>
        </w:rPr>
      </w:pPr>
    </w:p>
    <w:p w14:paraId="4F1ECD22"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BB07049" w14:textId="77777777" w:rsidR="00DD1A04" w:rsidRDefault="00DD1A04" w:rsidP="00DD1A04">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0"/>
      </w:tblGrid>
      <w:tr w:rsidR="00DD1A04" w14:paraId="5BBF040F" w14:textId="77777777" w:rsidTr="00211E4A">
        <w:tc>
          <w:tcPr>
            <w:tcW w:w="9450" w:type="dxa"/>
            <w:tcBorders>
              <w:top w:val="nil"/>
              <w:left w:val="nil"/>
              <w:bottom w:val="nil"/>
              <w:right w:val="nil"/>
            </w:tcBorders>
            <w:shd w:val="clear" w:color="auto" w:fill="FF0000"/>
            <w:tcMar>
              <w:top w:w="0" w:type="dxa"/>
              <w:left w:w="108" w:type="dxa"/>
              <w:bottom w:w="0" w:type="dxa"/>
              <w:right w:w="108" w:type="dxa"/>
            </w:tcMar>
            <w:hideMark/>
          </w:tcPr>
          <w:p w14:paraId="6AD07FA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4A0BA929"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INHALATION</w:t>
      </w:r>
      <w:r>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SKIN CONTACT</w:t>
      </w:r>
      <w:r>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EYE CONTACT</w:t>
      </w:r>
      <w:r>
        <w:rPr>
          <w:rFonts w:ascii="Century Gothic" w:eastAsia="Times New Roman" w:hAnsi="Century Gothic" w:cs="Times New Roman"/>
          <w:sz w:val="24"/>
          <w:szCs w:val="24"/>
        </w:rPr>
        <w:br/>
        <w:t>Flush thoroughly with water. If irritation occurs, get medical assistance.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INGESTION</w:t>
      </w:r>
      <w:r>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D1A04" w14:paraId="1ABDFD4E" w14:textId="77777777" w:rsidTr="00DD1A04">
        <w:tc>
          <w:tcPr>
            <w:tcW w:w="9270" w:type="dxa"/>
            <w:tcBorders>
              <w:top w:val="nil"/>
              <w:left w:val="nil"/>
              <w:bottom w:val="nil"/>
              <w:right w:val="nil"/>
            </w:tcBorders>
            <w:shd w:val="clear" w:color="auto" w:fill="FF0000"/>
            <w:tcMar>
              <w:top w:w="0" w:type="dxa"/>
              <w:left w:w="108" w:type="dxa"/>
              <w:bottom w:w="0" w:type="dxa"/>
              <w:right w:w="108" w:type="dxa"/>
            </w:tcMar>
            <w:hideMark/>
          </w:tcPr>
          <w:p w14:paraId="3C65717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05AB597A"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EXTINGUISHING MEDIA </w:t>
      </w:r>
      <w:r>
        <w:rPr>
          <w:rFonts w:ascii="Century Gothic" w:eastAsia="Times New Roman" w:hAnsi="Century Gothic" w:cs="Times New Roman"/>
          <w:b/>
          <w:bCs/>
          <w:sz w:val="24"/>
          <w:szCs w:val="24"/>
        </w:rPr>
        <w:br/>
        <w:t>Appropriate Extinguishing Media:</w:t>
      </w:r>
      <w:r>
        <w:rPr>
          <w:rFonts w:ascii="Century Gothic" w:eastAsia="Times New Roman" w:hAnsi="Century Gothic" w:cs="Times New Roman"/>
          <w:sz w:val="24"/>
          <w:szCs w:val="24"/>
        </w:rPr>
        <w:t> Use water fog, foam, dry chemical or carbon dioxide (CO2) to extinguish flames.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Inappropriate Extinguishing Media:</w:t>
      </w:r>
      <w:r>
        <w:rPr>
          <w:rFonts w:ascii="Century Gothic" w:eastAsia="Times New Roman" w:hAnsi="Century Gothic" w:cs="Times New Roman"/>
          <w:sz w:val="24"/>
          <w:szCs w:val="24"/>
        </w:rPr>
        <w:t> Straight streams of water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FIRE FIGHTING</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Fire Fighting Instructions:</w:t>
      </w:r>
      <w:r>
        <w:rPr>
          <w:rFonts w:ascii="Century Gothic" w:eastAsia="Times New Roman" w:hAnsi="Century Gothic" w:cs="Times New Roman"/>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supply to cool fire exposed </w:t>
      </w:r>
      <w:r>
        <w:rPr>
          <w:rFonts w:ascii="Century Gothic" w:eastAsia="Times New Roman" w:hAnsi="Century Gothic" w:cs="Times New Roman"/>
          <w:sz w:val="24"/>
          <w:szCs w:val="24"/>
        </w:rPr>
        <w:lastRenderedPageBreak/>
        <w:t>surfaces and to protect personnel.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Combustion Products:</w:t>
      </w:r>
      <w:r>
        <w:rPr>
          <w:rFonts w:ascii="Century Gothic" w:eastAsia="Times New Roman" w:hAnsi="Century Gothic" w:cs="Times New Roman"/>
          <w:sz w:val="24"/>
          <w:szCs w:val="24"/>
        </w:rPr>
        <w:t> Aldehydes, sulfur oxides, Oxides of carbon, Smoke, Fume, Incomplete combustion products.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PROPERTIES</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sidR="00E84ED5">
        <w:rPr>
          <w:rFonts w:ascii="Century Gothic" w:eastAsia="Times New Roman" w:hAnsi="Century Gothic" w:cs="Times New Roman"/>
          <w:sz w:val="24"/>
          <w:szCs w:val="24"/>
        </w:rPr>
        <w:t xml:space="preserve"> &gt;177°C (351</w:t>
      </w:r>
      <w:r>
        <w:rPr>
          <w:rFonts w:ascii="Century Gothic" w:eastAsia="Times New Roman" w:hAnsi="Century Gothic" w:cs="Times New Roman"/>
          <w:sz w:val="24"/>
          <w:szCs w:val="24"/>
        </w:rPr>
        <w:t>°F) [ASTEM D-92]</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Auto ignition Temperature:</w:t>
      </w:r>
      <w:r w:rsidR="00E84ED5">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6CB553B5"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1994636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03592DEF"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NOTIFICATION PROCEDURES</w:t>
      </w:r>
      <w:r>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PROTECTIVE MEASURES</w:t>
      </w:r>
      <w:r>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SPILL MANAGEMENT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Land Spill:</w:t>
      </w:r>
      <w:r>
        <w:rPr>
          <w:rFonts w:ascii="Century Gothic" w:eastAsia="Times New Roman" w:hAnsi="Century Gothic" w:cs="Times New Roman"/>
          <w:sz w:val="24"/>
          <w:szCs w:val="24"/>
        </w:rPr>
        <w:t xml:space="preserve"> Stop leak if you can do it without risk. Recover by pumping or with </w:t>
      </w:r>
      <w:r>
        <w:rPr>
          <w:rFonts w:ascii="Century Gothic" w:eastAsia="Times New Roman" w:hAnsi="Century Gothic" w:cs="Times New Roman"/>
          <w:sz w:val="24"/>
          <w:szCs w:val="24"/>
        </w:rPr>
        <w:lastRenderedPageBreak/>
        <w:t>suitable absorbent.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Water Spill:</w:t>
      </w:r>
      <w:r>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ENVIRONMENTAL PRECAUTIONS</w:t>
      </w:r>
      <w:r>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3A3FDCA1"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0F43E1F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3EFFCC8D"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HANDLING</w:t>
      </w:r>
      <w:r>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Static Accumulator:</w:t>
      </w:r>
      <w:r>
        <w:rPr>
          <w:rFonts w:ascii="Century Gothic" w:eastAsia="Times New Roman" w:hAnsi="Century Gothic" w:cs="Times New Roman"/>
          <w:sz w:val="24"/>
          <w:szCs w:val="24"/>
        </w:rPr>
        <w:t xml:space="preserve"> This material is a static accumulator.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STORAGE:</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07DA1E71"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765722A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55CE9590" w14:textId="77777777" w:rsidR="00DD1A04" w:rsidRDefault="00DD1A04" w:rsidP="00DD1A04">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br/>
        <w:t>EXPOSURE LIMIT VALUES</w:t>
      </w:r>
      <w:r>
        <w:rPr>
          <w:rFonts w:ascii="Century Gothic" w:eastAsia="Times New Roman" w:hAnsi="Century Gothic" w:cs="Times New Roman"/>
          <w:sz w:val="24"/>
          <w:szCs w:val="24"/>
        </w:rPr>
        <w:br/>
      </w: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Exposure limits/standards (Note: Exposure limits are no additive) </w:t>
      </w:r>
    </w:p>
    <w:tbl>
      <w:tblPr>
        <w:tblStyle w:val="TableGrid"/>
        <w:tblW w:w="0" w:type="auto"/>
        <w:tblLook w:val="04A0" w:firstRow="1" w:lastRow="0" w:firstColumn="1" w:lastColumn="0" w:noHBand="0" w:noVBand="1"/>
      </w:tblPr>
      <w:tblGrid>
        <w:gridCol w:w="1958"/>
        <w:gridCol w:w="1773"/>
        <w:gridCol w:w="727"/>
        <w:gridCol w:w="1066"/>
        <w:gridCol w:w="769"/>
        <w:gridCol w:w="1662"/>
        <w:gridCol w:w="1600"/>
      </w:tblGrid>
      <w:tr w:rsidR="00DD1A04" w14:paraId="097BB841"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714C9E36"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Substance Name</w:t>
            </w:r>
          </w:p>
        </w:tc>
        <w:tc>
          <w:tcPr>
            <w:tcW w:w="1773" w:type="dxa"/>
            <w:tcBorders>
              <w:top w:val="single" w:sz="4" w:space="0" w:color="auto"/>
              <w:left w:val="single" w:sz="4" w:space="0" w:color="auto"/>
              <w:bottom w:val="single" w:sz="4" w:space="0" w:color="auto"/>
              <w:right w:val="single" w:sz="4" w:space="0" w:color="auto"/>
            </w:tcBorders>
            <w:hideMark/>
          </w:tcPr>
          <w:p w14:paraId="235E62D9"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Form</w:t>
            </w:r>
          </w:p>
        </w:tc>
        <w:tc>
          <w:tcPr>
            <w:tcW w:w="2562" w:type="dxa"/>
            <w:gridSpan w:val="3"/>
            <w:tcBorders>
              <w:top w:val="single" w:sz="4" w:space="0" w:color="auto"/>
              <w:left w:val="single" w:sz="4" w:space="0" w:color="auto"/>
              <w:bottom w:val="single" w:sz="4" w:space="0" w:color="auto"/>
              <w:right w:val="single" w:sz="4" w:space="0" w:color="auto"/>
            </w:tcBorders>
            <w:hideMark/>
          </w:tcPr>
          <w:p w14:paraId="7702E197"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Limit / Standard</w:t>
            </w:r>
          </w:p>
        </w:tc>
        <w:tc>
          <w:tcPr>
            <w:tcW w:w="1662" w:type="dxa"/>
            <w:tcBorders>
              <w:top w:val="single" w:sz="4" w:space="0" w:color="auto"/>
              <w:left w:val="single" w:sz="4" w:space="0" w:color="auto"/>
              <w:bottom w:val="single" w:sz="4" w:space="0" w:color="auto"/>
              <w:right w:val="single" w:sz="4" w:space="0" w:color="auto"/>
            </w:tcBorders>
            <w:hideMark/>
          </w:tcPr>
          <w:p w14:paraId="449557FD"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NOTE</w:t>
            </w:r>
          </w:p>
        </w:tc>
        <w:tc>
          <w:tcPr>
            <w:tcW w:w="1600" w:type="dxa"/>
            <w:tcBorders>
              <w:top w:val="single" w:sz="4" w:space="0" w:color="auto"/>
              <w:left w:val="single" w:sz="4" w:space="0" w:color="auto"/>
              <w:bottom w:val="single" w:sz="4" w:space="0" w:color="auto"/>
              <w:right w:val="single" w:sz="4" w:space="0" w:color="auto"/>
            </w:tcBorders>
            <w:hideMark/>
          </w:tcPr>
          <w:p w14:paraId="305D61BF"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Source</w:t>
            </w:r>
          </w:p>
        </w:tc>
      </w:tr>
      <w:tr w:rsidR="00DD1A04" w14:paraId="3F282BEC"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6A583D40"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DIPHENYLAMINE</w:t>
            </w:r>
          </w:p>
        </w:tc>
        <w:tc>
          <w:tcPr>
            <w:tcW w:w="1773" w:type="dxa"/>
            <w:tcBorders>
              <w:top w:val="single" w:sz="4" w:space="0" w:color="auto"/>
              <w:left w:val="single" w:sz="4" w:space="0" w:color="auto"/>
              <w:bottom w:val="single" w:sz="4" w:space="0" w:color="auto"/>
              <w:right w:val="single" w:sz="4" w:space="0" w:color="auto"/>
            </w:tcBorders>
            <w:hideMark/>
          </w:tcPr>
          <w:p w14:paraId="56329D76" w14:textId="77777777" w:rsidR="00DD1A04" w:rsidRPr="00E84ED5" w:rsidRDefault="00DD1A04">
            <w:pPr>
              <w:spacing w:after="240"/>
              <w:rPr>
                <w:rFonts w:ascii="Century Gothic" w:eastAsia="Times New Roman" w:hAnsi="Century Gothic"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hideMark/>
          </w:tcPr>
          <w:p w14:paraId="6ECF9035"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2BDC2104"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10 mg/m3</w:t>
            </w:r>
          </w:p>
        </w:tc>
        <w:tc>
          <w:tcPr>
            <w:tcW w:w="769" w:type="dxa"/>
            <w:tcBorders>
              <w:top w:val="single" w:sz="4" w:space="0" w:color="auto"/>
              <w:left w:val="single" w:sz="4" w:space="0" w:color="auto"/>
              <w:bottom w:val="single" w:sz="4" w:space="0" w:color="auto"/>
              <w:right w:val="single" w:sz="4" w:space="0" w:color="auto"/>
            </w:tcBorders>
          </w:tcPr>
          <w:p w14:paraId="36EB4F53"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7C4EF7D1"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7C8616DE"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ACGIH</w:t>
            </w:r>
          </w:p>
        </w:tc>
      </w:tr>
      <w:tr w:rsidR="00DD1A04" w14:paraId="61760498"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0329DE85"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HYDROTREATED LIGHT PARAFFINIC DISTILLAES, PETROLEUM</w:t>
            </w:r>
          </w:p>
        </w:tc>
        <w:tc>
          <w:tcPr>
            <w:tcW w:w="1773" w:type="dxa"/>
            <w:tcBorders>
              <w:top w:val="single" w:sz="4" w:space="0" w:color="auto"/>
              <w:left w:val="single" w:sz="4" w:space="0" w:color="auto"/>
              <w:bottom w:val="single" w:sz="4" w:space="0" w:color="auto"/>
              <w:right w:val="single" w:sz="4" w:space="0" w:color="auto"/>
            </w:tcBorders>
            <w:hideMark/>
          </w:tcPr>
          <w:p w14:paraId="784A495D"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hideMark/>
          </w:tcPr>
          <w:p w14:paraId="54ED65B4"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326390F8"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30BD471F"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685E3F9C"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02BB2B3A"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OSHA Z1</w:t>
            </w:r>
          </w:p>
        </w:tc>
      </w:tr>
      <w:tr w:rsidR="00DD1A04" w14:paraId="6AE4200F"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079B21BA"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HYDROTREATED LIGHT PARAFFINIC DISTILLAES, PETROLEUM</w:t>
            </w:r>
          </w:p>
        </w:tc>
        <w:tc>
          <w:tcPr>
            <w:tcW w:w="1773" w:type="dxa"/>
            <w:tcBorders>
              <w:top w:val="single" w:sz="4" w:space="0" w:color="auto"/>
              <w:left w:val="single" w:sz="4" w:space="0" w:color="auto"/>
              <w:bottom w:val="single" w:sz="4" w:space="0" w:color="auto"/>
              <w:right w:val="single" w:sz="4" w:space="0" w:color="auto"/>
            </w:tcBorders>
          </w:tcPr>
          <w:p w14:paraId="65699344"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Inhalable fraction.</w:t>
            </w:r>
          </w:p>
        </w:tc>
        <w:tc>
          <w:tcPr>
            <w:tcW w:w="727" w:type="dxa"/>
            <w:tcBorders>
              <w:top w:val="single" w:sz="4" w:space="0" w:color="auto"/>
              <w:left w:val="single" w:sz="4" w:space="0" w:color="auto"/>
              <w:bottom w:val="single" w:sz="4" w:space="0" w:color="auto"/>
              <w:right w:val="single" w:sz="4" w:space="0" w:color="auto"/>
            </w:tcBorders>
            <w:hideMark/>
          </w:tcPr>
          <w:p w14:paraId="1E438879"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1FD74B99"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hideMark/>
          </w:tcPr>
          <w:p w14:paraId="217BE48E"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28FBE95D"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63345D17"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ACGIH</w:t>
            </w:r>
          </w:p>
        </w:tc>
      </w:tr>
      <w:tr w:rsidR="00DD1A04" w14:paraId="4D761194"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4CAEBE15"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HYDROTREATED LIGHT PARAFFINIC DISTILLAES, PETROLEUM</w:t>
            </w:r>
          </w:p>
        </w:tc>
        <w:tc>
          <w:tcPr>
            <w:tcW w:w="1773" w:type="dxa"/>
            <w:tcBorders>
              <w:top w:val="single" w:sz="4" w:space="0" w:color="auto"/>
              <w:left w:val="single" w:sz="4" w:space="0" w:color="auto"/>
              <w:bottom w:val="single" w:sz="4" w:space="0" w:color="auto"/>
              <w:right w:val="single" w:sz="4" w:space="0" w:color="auto"/>
            </w:tcBorders>
            <w:hideMark/>
          </w:tcPr>
          <w:p w14:paraId="66BF155A"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hideMark/>
          </w:tcPr>
          <w:p w14:paraId="4BA302D9"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47B120EA"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714881ED"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05AD67E6"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68778D56"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ACGIH</w:t>
            </w:r>
          </w:p>
        </w:tc>
      </w:tr>
      <w:tr w:rsidR="00DD1A04" w14:paraId="3256AF70"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458D45D7" w14:textId="77777777" w:rsidR="00DD1A04" w:rsidRPr="00E84ED5" w:rsidRDefault="00DD1A04" w:rsidP="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 xml:space="preserve">SOLVENT </w:t>
            </w:r>
            <w:r w:rsidR="00E84ED5" w:rsidRPr="00E84ED5">
              <w:rPr>
                <w:rFonts w:ascii="Century Gothic" w:eastAsia="Times New Roman" w:hAnsi="Century Gothic" w:cs="Times New Roman"/>
                <w:sz w:val="20"/>
                <w:szCs w:val="20"/>
              </w:rPr>
              <w:t xml:space="preserve">DEWAXED LIGHT PARAFFINIC DISTILLATE (PETROLEUM) </w:t>
            </w:r>
          </w:p>
        </w:tc>
        <w:tc>
          <w:tcPr>
            <w:tcW w:w="1773" w:type="dxa"/>
            <w:tcBorders>
              <w:top w:val="single" w:sz="4" w:space="0" w:color="auto"/>
              <w:left w:val="single" w:sz="4" w:space="0" w:color="auto"/>
              <w:bottom w:val="single" w:sz="4" w:space="0" w:color="auto"/>
              <w:right w:val="single" w:sz="4" w:space="0" w:color="auto"/>
            </w:tcBorders>
            <w:hideMark/>
          </w:tcPr>
          <w:p w14:paraId="57BD123C"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hideMark/>
          </w:tcPr>
          <w:p w14:paraId="0B716C6E"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19596944"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16281D1D"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1BF198FC"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1E86BEE9"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OSHA Z1</w:t>
            </w:r>
          </w:p>
        </w:tc>
      </w:tr>
      <w:tr w:rsidR="00E84ED5" w14:paraId="42C25AB1" w14:textId="77777777" w:rsidTr="00E84ED5">
        <w:tc>
          <w:tcPr>
            <w:tcW w:w="1958" w:type="dxa"/>
            <w:tcBorders>
              <w:top w:val="single" w:sz="4" w:space="0" w:color="auto"/>
              <w:left w:val="single" w:sz="4" w:space="0" w:color="auto"/>
              <w:bottom w:val="single" w:sz="4" w:space="0" w:color="auto"/>
              <w:right w:val="single" w:sz="4" w:space="0" w:color="auto"/>
            </w:tcBorders>
          </w:tcPr>
          <w:p w14:paraId="42951768" w14:textId="77777777" w:rsidR="00E84ED5" w:rsidRPr="00E84ED5" w:rsidRDefault="00E84ED5" w:rsidP="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SOLVENT DEWAXED LIGHT PARAFFINIC DISTILLATE (PETROLEUM)</w:t>
            </w:r>
          </w:p>
        </w:tc>
        <w:tc>
          <w:tcPr>
            <w:tcW w:w="1773" w:type="dxa"/>
            <w:tcBorders>
              <w:top w:val="single" w:sz="4" w:space="0" w:color="auto"/>
              <w:left w:val="single" w:sz="4" w:space="0" w:color="auto"/>
              <w:bottom w:val="single" w:sz="4" w:space="0" w:color="auto"/>
              <w:right w:val="single" w:sz="4" w:space="0" w:color="auto"/>
            </w:tcBorders>
          </w:tcPr>
          <w:p w14:paraId="6CAFC1B4"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Inhalable fraction</w:t>
            </w:r>
          </w:p>
        </w:tc>
        <w:tc>
          <w:tcPr>
            <w:tcW w:w="727" w:type="dxa"/>
            <w:tcBorders>
              <w:top w:val="single" w:sz="4" w:space="0" w:color="auto"/>
              <w:left w:val="single" w:sz="4" w:space="0" w:color="auto"/>
              <w:bottom w:val="single" w:sz="4" w:space="0" w:color="auto"/>
              <w:right w:val="single" w:sz="4" w:space="0" w:color="auto"/>
            </w:tcBorders>
          </w:tcPr>
          <w:p w14:paraId="2DA6F6D3"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tcPr>
          <w:p w14:paraId="7957CDCC"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387F0073" w14:textId="77777777" w:rsidR="00E84ED5" w:rsidRPr="00E84ED5" w:rsidRDefault="00E84ED5">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14:paraId="7B4100A2"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tcPr>
          <w:p w14:paraId="07C24449"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ACGIH</w:t>
            </w:r>
          </w:p>
        </w:tc>
      </w:tr>
      <w:tr w:rsidR="00E84ED5" w14:paraId="4A3A9484" w14:textId="77777777" w:rsidTr="00E84ED5">
        <w:tc>
          <w:tcPr>
            <w:tcW w:w="1958" w:type="dxa"/>
            <w:tcBorders>
              <w:top w:val="single" w:sz="4" w:space="0" w:color="auto"/>
              <w:left w:val="single" w:sz="4" w:space="0" w:color="auto"/>
              <w:bottom w:val="single" w:sz="4" w:space="0" w:color="auto"/>
              <w:right w:val="single" w:sz="4" w:space="0" w:color="auto"/>
            </w:tcBorders>
          </w:tcPr>
          <w:p w14:paraId="351E1EA7" w14:textId="77777777" w:rsidR="00E84ED5" w:rsidRPr="00E84ED5" w:rsidRDefault="00E84ED5" w:rsidP="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SOLVENT DEWAXED LIGHT PARAFFINIC DISTILLATE (PETROLEUM)</w:t>
            </w:r>
          </w:p>
        </w:tc>
        <w:tc>
          <w:tcPr>
            <w:tcW w:w="1773" w:type="dxa"/>
            <w:tcBorders>
              <w:top w:val="single" w:sz="4" w:space="0" w:color="auto"/>
              <w:left w:val="single" w:sz="4" w:space="0" w:color="auto"/>
              <w:bottom w:val="single" w:sz="4" w:space="0" w:color="auto"/>
              <w:right w:val="single" w:sz="4" w:space="0" w:color="auto"/>
            </w:tcBorders>
          </w:tcPr>
          <w:p w14:paraId="5F8ACB27"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tcPr>
          <w:p w14:paraId="6AA072E1"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tcPr>
          <w:p w14:paraId="2864082B"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209A18B7" w14:textId="77777777" w:rsidR="00E84ED5" w:rsidRPr="00E84ED5" w:rsidRDefault="00E84ED5">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14:paraId="52B2D5B5"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tcPr>
          <w:p w14:paraId="31BD678F"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ACGIH</w:t>
            </w:r>
          </w:p>
        </w:tc>
      </w:tr>
    </w:tbl>
    <w:p w14:paraId="4460754D"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Exposure limits/standards for materials that can be formed when handling this product: </w:t>
      </w:r>
      <w:r>
        <w:rPr>
          <w:rFonts w:ascii="Century Gothic" w:eastAsia="Times New Roman" w:hAnsi="Century Gothic" w:cs="Times New Roman"/>
          <w:sz w:val="24"/>
          <w:szCs w:val="24"/>
        </w:rPr>
        <w:t>When mists/aerosols can occur the following are recommended: 5mg/m3 - ACGIH TLV (inhalable fraction), 5 mg/m3 - OHSA PEL.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NOTE: Limits/standards shown for guidance only. Follow applicable regulations.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No biological limits allocated.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ENGINEERING CONTROLS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The level of protection and toes of controls necessary will vary depending upon potential exposure conditions. </w:t>
      </w:r>
      <w:r>
        <w:rPr>
          <w:rFonts w:ascii="Century Gothic" w:eastAsia="Times New Roman" w:hAnsi="Century Gothic" w:cs="Times New Roman"/>
          <w:sz w:val="24"/>
          <w:szCs w:val="24"/>
        </w:rPr>
        <w:br/>
        <w:t>Control measures to consider:</w:t>
      </w:r>
      <w:r>
        <w:rPr>
          <w:rFonts w:ascii="Century Gothic" w:eastAsia="Times New Roman" w:hAnsi="Century Gothic" w:cs="Times New Roman"/>
          <w:sz w:val="24"/>
          <w:szCs w:val="24"/>
        </w:rPr>
        <w:br/>
        <w:t>No special requirements under ordinary conditions of use and with adequate ventilation.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PERSONAL PROTECTION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Respiratory Protection:</w:t>
      </w:r>
      <w:r>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Times New Roman"/>
          <w:sz w:val="24"/>
          <w:szCs w:val="24"/>
        </w:rPr>
        <w:br/>
        <w:t>No special requirements under ordinary conditions of use and with adequate ventilation.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D859F4">
        <w:rPr>
          <w:rFonts w:ascii="Century Gothic" w:eastAsia="Times New Roman" w:hAnsi="Century Gothic" w:cs="Times New Roman"/>
          <w:sz w:val="24"/>
          <w:szCs w:val="24"/>
        </w:rPr>
        <w:t>filters</w:t>
      </w:r>
      <w:r>
        <w:rPr>
          <w:rFonts w:ascii="Century Gothic" w:eastAsia="Times New Roman" w:hAnsi="Century Gothic" w:cs="Times New Roman"/>
          <w:sz w:val="24"/>
          <w:szCs w:val="24"/>
        </w:rPr>
        <w:t xml:space="preserve"> capacity/rating may be exceeded.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Hand Protection:</w:t>
      </w:r>
      <w:r>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Times New Roman"/>
          <w:sz w:val="24"/>
          <w:szCs w:val="24"/>
        </w:rPr>
        <w:br/>
        <w:t>No protection is ordinarily required under normal conditions of use.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Eye Protection:</w:t>
      </w:r>
      <w:r>
        <w:rPr>
          <w:rFonts w:ascii="Century Gothic" w:eastAsia="Times New Roman" w:hAnsi="Century Gothic" w:cs="Times New Roman"/>
          <w:sz w:val="24"/>
          <w:szCs w:val="24"/>
        </w:rPr>
        <w:t xml:space="preserve"> If contact is likely, safety glasses with side shields are recommended.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Skin and Body Protection:</w:t>
      </w:r>
      <w:r>
        <w:rPr>
          <w:rFonts w:ascii="Century Gothic" w:eastAsia="Times New Roman" w:hAnsi="Century Gothic" w:cs="Times New Roman"/>
          <w:sz w:val="24"/>
          <w:szCs w:val="24"/>
        </w:rPr>
        <w:t xml:space="preserve"> Any specific clothing information provided is based on </w:t>
      </w:r>
      <w:r>
        <w:rPr>
          <w:rFonts w:ascii="Century Gothic" w:eastAsia="Times New Roman" w:hAnsi="Century Gothic" w:cs="Times New Roman"/>
          <w:sz w:val="24"/>
          <w:szCs w:val="24"/>
        </w:rPr>
        <w:lastRenderedPageBreak/>
        <w:t>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Specific Hygiene Measures: </w:t>
      </w:r>
      <w:r>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Environmental Controls</w:t>
      </w:r>
      <w:r>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450FF7A1"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4380F3A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109BAA8A"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GENERAL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Physical State:</w:t>
      </w:r>
      <w:r>
        <w:rPr>
          <w:rFonts w:ascii="Century Gothic" w:eastAsia="Times New Roman" w:hAnsi="Century Gothic" w:cs="Times New Roman"/>
          <w:sz w:val="24"/>
          <w:szCs w:val="24"/>
        </w:rPr>
        <w:t xml:space="preserve"> Liquid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Color:</w:t>
      </w:r>
      <w:r w:rsidR="00D859F4">
        <w:rPr>
          <w:rFonts w:ascii="Century Gothic" w:eastAsia="Times New Roman" w:hAnsi="Century Gothic" w:cs="Times New Roman"/>
          <w:sz w:val="24"/>
          <w:szCs w:val="24"/>
        </w:rPr>
        <w:t xml:space="preserve"> Red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w:t>
      </w:r>
      <w:r>
        <w:rPr>
          <w:rFonts w:ascii="Century Gothic" w:eastAsia="Times New Roman" w:hAnsi="Century Gothic" w:cs="Times New Roman"/>
          <w:sz w:val="24"/>
          <w:szCs w:val="24"/>
        </w:rPr>
        <w:t xml:space="preserve"> Characteristic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 Threshold:</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IMPORTANT HEALTH, SAFETY, AND ENVIRONMENTAL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Relative Density (at 15°C):</w:t>
      </w:r>
      <w:r w:rsidR="00D859F4">
        <w:rPr>
          <w:rFonts w:ascii="Century Gothic" w:eastAsia="Times New Roman" w:hAnsi="Century Gothic" w:cs="Times New Roman"/>
          <w:sz w:val="24"/>
          <w:szCs w:val="24"/>
        </w:rPr>
        <w:t xml:space="preserve"> 0.863</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(Solid, Gas):</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sidR="00D859F4">
        <w:rPr>
          <w:rFonts w:ascii="Century Gothic" w:eastAsia="Times New Roman" w:hAnsi="Century Gothic" w:cs="Times New Roman"/>
          <w:sz w:val="24"/>
          <w:szCs w:val="24"/>
        </w:rPr>
        <w:t xml:space="preserve"> &gt;177°C (351</w:t>
      </w:r>
      <w:r>
        <w:rPr>
          <w:rFonts w:ascii="Century Gothic" w:eastAsia="Times New Roman" w:hAnsi="Century Gothic" w:cs="Times New Roman"/>
          <w:sz w:val="24"/>
          <w:szCs w:val="24"/>
        </w:rPr>
        <w:t>°F) [ASTM D-02]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xml:space="preserve">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Auto ignition Temperature: </w:t>
      </w:r>
      <w:r>
        <w:rPr>
          <w:rFonts w:ascii="Century Gothic" w:eastAsia="Times New Roman" w:hAnsi="Century Gothic" w:cs="Times New Roman"/>
          <w:sz w:val="24"/>
          <w:szCs w:val="24"/>
        </w:rPr>
        <w:t>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Boiling Point / Range:</w:t>
      </w:r>
      <w:r>
        <w:rPr>
          <w:rFonts w:ascii="Century Gothic" w:eastAsia="Times New Roman" w:hAnsi="Century Gothic" w:cs="Times New Roman"/>
          <w:sz w:val="24"/>
          <w:szCs w:val="24"/>
        </w:rPr>
        <w:t xml:space="preserve"> &gt;316°C (600°F)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Decomposition Temperature</w:t>
      </w:r>
      <w:r>
        <w:rPr>
          <w:rFonts w:ascii="Century Gothic" w:eastAsia="Times New Roman" w:hAnsi="Century Gothic" w:cs="Times New Roman"/>
          <w:sz w:val="24"/>
          <w:szCs w:val="24"/>
        </w:rPr>
        <w:t>: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Density (Air = 1):</w:t>
      </w:r>
      <w:r>
        <w:rPr>
          <w:rFonts w:ascii="Century Gothic" w:eastAsia="Times New Roman" w:hAnsi="Century Gothic" w:cs="Times New Roman"/>
          <w:sz w:val="24"/>
          <w:szCs w:val="24"/>
        </w:rPr>
        <w:t xml:space="preserve">   &gt;2 at 101 kPa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Pressure:</w:t>
      </w:r>
      <w:r>
        <w:rPr>
          <w:rFonts w:ascii="Century Gothic" w:eastAsia="Times New Roman" w:hAnsi="Century Gothic" w:cs="Times New Roman"/>
          <w:sz w:val="24"/>
          <w:szCs w:val="24"/>
        </w:rPr>
        <w:t xml:space="preserve"> &lt; 0.013 kPa (0.1 mm Hg) at 20 °C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Evaporation Rate (n-butyl acetate = 1):</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Log Pow (n-Octanol/Water Partition Coefficient):</w:t>
      </w:r>
      <w:r>
        <w:rPr>
          <w:rFonts w:ascii="Century Gothic" w:eastAsia="Times New Roman" w:hAnsi="Century Gothic" w:cs="Times New Roman"/>
          <w:sz w:val="24"/>
          <w:szCs w:val="24"/>
        </w:rPr>
        <w:t xml:space="preserve"> &gt;3.5</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Solubility in Water:</w:t>
      </w:r>
      <w:r>
        <w:rPr>
          <w:rFonts w:ascii="Century Gothic" w:eastAsia="Times New Roman" w:hAnsi="Century Gothic" w:cs="Times New Roman"/>
          <w:sz w:val="24"/>
          <w:szCs w:val="24"/>
        </w:rPr>
        <w:t xml:space="preserve">   Negligible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Viscosity:</w:t>
      </w:r>
      <w:r w:rsidR="00D859F4">
        <w:rPr>
          <w:rFonts w:ascii="Century Gothic" w:eastAsia="Times New Roman" w:hAnsi="Century Gothic" w:cs="Times New Roman"/>
          <w:sz w:val="24"/>
          <w:szCs w:val="24"/>
        </w:rPr>
        <w:t xml:space="preserve"> 34</w:t>
      </w:r>
      <w:r>
        <w:rPr>
          <w:rFonts w:ascii="Century Gothic" w:eastAsia="Times New Roman" w:hAnsi="Century Gothic" w:cs="Times New Roman"/>
          <w:sz w:val="24"/>
          <w:szCs w:val="24"/>
        </w:rPr>
        <w:t xml:space="preserve"> cSt (</w:t>
      </w:r>
      <w:r w:rsidR="00D859F4">
        <w:rPr>
          <w:rFonts w:ascii="Century Gothic" w:eastAsia="Times New Roman" w:hAnsi="Century Gothic" w:cs="Times New Roman"/>
          <w:sz w:val="24"/>
          <w:szCs w:val="24"/>
        </w:rPr>
        <w:t>34</w:t>
      </w:r>
      <w:r>
        <w:rPr>
          <w:rFonts w:ascii="Century Gothic" w:eastAsia="Times New Roman" w:hAnsi="Century Gothic" w:cs="Times New Roman"/>
          <w:sz w:val="24"/>
          <w:szCs w:val="24"/>
        </w:rPr>
        <w:t xml:space="preserve"> mm2/sec) at 40° </w:t>
      </w:r>
      <w:r w:rsidR="00D859F4">
        <w:rPr>
          <w:rFonts w:ascii="Century Gothic" w:eastAsia="Times New Roman" w:hAnsi="Century Gothic" w:cs="Times New Roman"/>
          <w:sz w:val="24"/>
          <w:szCs w:val="24"/>
        </w:rPr>
        <w:t>| 7.2 cSt (7.2 mm2/sec) at 100°C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Oxidizing Properties:</w:t>
      </w:r>
      <w:r>
        <w:rPr>
          <w:rFonts w:ascii="Century Gothic" w:eastAsia="Times New Roman" w:hAnsi="Century Gothic" w:cs="Times New Roman"/>
          <w:sz w:val="24"/>
          <w:szCs w:val="24"/>
        </w:rPr>
        <w:t xml:space="preserve"> See Hazards Identification Section.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Freezing Point: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Melting Point: </w:t>
      </w:r>
      <w:r>
        <w:rPr>
          <w:rFonts w:ascii="Century Gothic" w:eastAsia="Times New Roman" w:hAnsi="Century Gothic" w:cs="Times New Roman"/>
          <w:sz w:val="24"/>
          <w:szCs w:val="24"/>
        </w:rPr>
        <w:t>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Pour Point:</w:t>
      </w:r>
      <w:r w:rsidR="00D859F4">
        <w:rPr>
          <w:rFonts w:ascii="Century Gothic" w:eastAsia="Times New Roman" w:hAnsi="Century Gothic" w:cs="Times New Roman"/>
          <w:sz w:val="24"/>
          <w:szCs w:val="24"/>
        </w:rPr>
        <w:t xml:space="preserve"> -34°C (-30</w:t>
      </w:r>
      <w:r>
        <w:rPr>
          <w:rFonts w:ascii="Century Gothic" w:eastAsia="Times New Roman" w:hAnsi="Century Gothic" w:cs="Times New Roman"/>
          <w:sz w:val="24"/>
          <w:szCs w:val="24"/>
        </w:rPr>
        <w:t>°F)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DMSO Extract  (mineral oil only), IP-346:</w:t>
      </w:r>
      <w:r>
        <w:rPr>
          <w:rFonts w:ascii="Century Gothic" w:eastAsia="Times New Roman" w:hAnsi="Century Gothic" w:cs="Times New Roman"/>
          <w:sz w:val="24"/>
          <w:szCs w:val="24"/>
        </w:rPr>
        <w:t xml:space="preserve"> &lt; 3 %wt</w:t>
      </w:r>
      <w:r>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D1A04" w14:paraId="3B055F92" w14:textId="77777777" w:rsidTr="00DD1A04">
        <w:tc>
          <w:tcPr>
            <w:tcW w:w="9468" w:type="dxa"/>
            <w:tcBorders>
              <w:top w:val="nil"/>
              <w:left w:val="nil"/>
              <w:bottom w:val="nil"/>
              <w:right w:val="nil"/>
            </w:tcBorders>
            <w:shd w:val="clear" w:color="auto" w:fill="FF0000"/>
            <w:tcMar>
              <w:top w:w="0" w:type="dxa"/>
              <w:left w:w="108" w:type="dxa"/>
              <w:bottom w:w="0" w:type="dxa"/>
              <w:right w:w="108" w:type="dxa"/>
            </w:tcMar>
            <w:hideMark/>
          </w:tcPr>
          <w:p w14:paraId="3EEA3BD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5830490B"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REACTIVITY:</w:t>
      </w:r>
      <w:r>
        <w:rPr>
          <w:rFonts w:ascii="Century Gothic" w:eastAsia="Times New Roman" w:hAnsi="Century Gothic" w:cs="Times New Roman"/>
          <w:sz w:val="24"/>
          <w:szCs w:val="24"/>
        </w:rPr>
        <w:t xml:space="preserve"> See sub-sections below.</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STABILITY: </w:t>
      </w:r>
      <w:r>
        <w:rPr>
          <w:rFonts w:ascii="Century Gothic" w:eastAsia="Times New Roman" w:hAnsi="Century Gothic" w:cs="Times New Roman"/>
          <w:sz w:val="24"/>
          <w:szCs w:val="24"/>
        </w:rPr>
        <w:t>Material is stable under normal conditions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CONDITIONS TO AVOID:</w:t>
      </w:r>
      <w:r>
        <w:rPr>
          <w:rFonts w:ascii="Century Gothic" w:eastAsia="Times New Roman" w:hAnsi="Century Gothic" w:cs="Times New Roman"/>
          <w:sz w:val="24"/>
          <w:szCs w:val="24"/>
        </w:rPr>
        <w:t xml:space="preserve"> Excessive heat. High energy sources of ignition.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MATERIALS TO AVOID:</w:t>
      </w:r>
      <w:r>
        <w:rPr>
          <w:rFonts w:ascii="Century Gothic" w:eastAsia="Times New Roman" w:hAnsi="Century Gothic" w:cs="Times New Roman"/>
          <w:sz w:val="24"/>
          <w:szCs w:val="24"/>
        </w:rPr>
        <w:t xml:space="preserve"> Strong oxidizers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DECOMPOSITION PRODUCTS:</w:t>
      </w:r>
      <w:r>
        <w:rPr>
          <w:rFonts w:ascii="Century Gothic" w:eastAsia="Times New Roman" w:hAnsi="Century Gothic" w:cs="Times New Roman"/>
          <w:sz w:val="24"/>
          <w:szCs w:val="24"/>
        </w:rPr>
        <w:t xml:space="preserve"> Material does not decompose at ambient </w:t>
      </w:r>
      <w:r>
        <w:rPr>
          <w:rFonts w:ascii="Century Gothic" w:eastAsia="Times New Roman" w:hAnsi="Century Gothic" w:cs="Times New Roman"/>
          <w:sz w:val="24"/>
          <w:szCs w:val="24"/>
        </w:rPr>
        <w:br/>
        <w:t>temperatures.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POSSIBILITY OF HAZARDOUS REACTIONS:</w:t>
      </w:r>
      <w:r>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703EE13D"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4F6EFF2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3753E735"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DD1A04" w14:paraId="7E0F241F" w14:textId="77777777" w:rsidTr="00DD1A04">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9B47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C4B3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DD1A04" w14:paraId="342F2906"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9A59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F831E5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7C3878B3"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5A0F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A3D497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DD1A04" w14:paraId="3BDF096D"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B71C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3C79D0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DD1A04" w14:paraId="5079FA39"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9812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E5D686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6644E14F"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1444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42472D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65576ED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3FF54FB4"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4896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69868B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30648F5D"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F7A77"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40A0B6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DD1A04" w14:paraId="00E18552"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CC2E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C2E8CE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DD1A04" w14:paraId="468A14BC"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43BC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135585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3EBBBB17"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A4D0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F7B0D5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DD1A04" w14:paraId="30F27CC2"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53E3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B2FB9A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7EA2EE8C"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8FBB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ACC674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DD1A04" w14:paraId="6F2FF6A7"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6764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C157B8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DD1A04" w14:paraId="5CF46382"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6490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7FB40D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DD1A04" w14:paraId="2AC4B9A1"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A4A6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825BCB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DD1A04" w14:paraId="35D51CCD"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21B7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9B4BD7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DD1A04" w14:paraId="4E303390"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EC28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038CD7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DD1A04" w14:paraId="7FB9F1B7"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6FE9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AD1DA8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DD1A04" w14:paraId="78223C0F"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AF6E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75F252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58008316"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7104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0E90F6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DD1A04" w14:paraId="0F376E2F"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1C45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C57C1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5C8AA809"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DD1A04" w14:paraId="475F987E" w14:textId="77777777" w:rsidTr="00DD1A04">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5D4C7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C54D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ACUTE TOXICITY</w:t>
            </w:r>
          </w:p>
        </w:tc>
      </w:tr>
      <w:tr w:rsidR="00DD1A04" w14:paraId="350F4A1D" w14:textId="77777777" w:rsidTr="00DD1A04">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9F24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307FE20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Oral Lethality: LD50 0.89 g/kg (Rat)</w:t>
            </w:r>
          </w:p>
        </w:tc>
      </w:tr>
    </w:tbl>
    <w:p w14:paraId="269B0205"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OTHER INFORMATION</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Contains:</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The following ingredients are cited on the lists below: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--REGULATORY LISTS SEARCHED--</w:t>
      </w:r>
      <w:r>
        <w:rPr>
          <w:rFonts w:ascii="Century Gothic" w:eastAsia="Times New Roman" w:hAnsi="Century Gothic" w:cs="Times New Roman"/>
          <w:sz w:val="24"/>
          <w:szCs w:val="24"/>
        </w:rPr>
        <w:br/>
        <w:t xml:space="preserve">1 = NTP CARC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3 = IARC 1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5 = IARC 2B</w:t>
      </w:r>
      <w:r>
        <w:rPr>
          <w:rFonts w:ascii="Century Gothic" w:eastAsia="Times New Roman" w:hAnsi="Century Gothic" w:cs="Times New Roman"/>
          <w:sz w:val="24"/>
          <w:szCs w:val="24"/>
        </w:rPr>
        <w:br/>
        <w:t xml:space="preserve">2 = NTP SUS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4 = IARC 2A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2DDF150A"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23A9383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6236DFCC"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The information given is based on data available for the material, the components of the material, and similar materials.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ECOTOXICITY</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t>Material — Not expected to be harmful to aquatic organisms.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MOBILITY</w:t>
      </w:r>
      <w:r>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PERSISTENCE AND DEGRADABILITY</w:t>
      </w:r>
      <w:r>
        <w:rPr>
          <w:rFonts w:ascii="Century Gothic" w:eastAsia="Times New Roman" w:hAnsi="Century Gothic" w:cs="Times New Roman"/>
          <w:b/>
          <w:bCs/>
          <w:sz w:val="24"/>
          <w:szCs w:val="24"/>
        </w:rPr>
        <w:br/>
        <w:t>Biodegradation:</w:t>
      </w:r>
      <w:r>
        <w:rPr>
          <w:rFonts w:ascii="Century Gothic" w:eastAsia="Times New Roman" w:hAnsi="Century Gothic" w:cs="Times New Roman"/>
          <w:sz w:val="24"/>
          <w:szCs w:val="24"/>
        </w:rPr>
        <w:br/>
        <w:t>Base oil component— Expected to be inherently biodegradable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BIOACCUMULATION POTENTIAL</w:t>
      </w:r>
      <w:r>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ECOLOGICAL INFORMATION</w:t>
      </w:r>
      <w:r>
        <w:rPr>
          <w:rFonts w:ascii="Century Gothic" w:eastAsia="Times New Roman" w:hAnsi="Century Gothic" w:cs="Times New Roman"/>
          <w:b/>
          <w:bCs/>
          <w:sz w:val="24"/>
          <w:szCs w:val="24"/>
        </w:rPr>
        <w:br/>
        <w:t>VOC:</w:t>
      </w:r>
      <w:r>
        <w:rPr>
          <w:rFonts w:ascii="Century Gothic" w:eastAsia="Times New Roman" w:hAnsi="Century Gothic" w:cs="Times New Roman"/>
          <w:sz w:val="24"/>
          <w:szCs w:val="24"/>
        </w:rPr>
        <w:t xml:space="preserve"> 1.1 G/L [ASTM E1868-10]</w:t>
      </w:r>
      <w:r>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6D4649CD"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6E3473A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3C8A1FDB"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t>Disposal recommendations based on material as supplied. Disposal must be in accordance current applicable laws and regulations, and material characteristics at time of disposal.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DISPOSAL RECOMMENDATIONS</w:t>
      </w:r>
      <w:r>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REGULATORY DISPOSAL INFORMATION</w:t>
      </w:r>
      <w:r>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Empty Container Warning:</w:t>
      </w:r>
      <w:r>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D1A04" w14:paraId="6184F217" w14:textId="77777777" w:rsidTr="00DD1A04">
        <w:tc>
          <w:tcPr>
            <w:tcW w:w="9270" w:type="dxa"/>
            <w:tcBorders>
              <w:top w:val="nil"/>
              <w:left w:val="nil"/>
              <w:bottom w:val="nil"/>
              <w:right w:val="nil"/>
            </w:tcBorders>
            <w:shd w:val="clear" w:color="auto" w:fill="FF0000"/>
            <w:tcMar>
              <w:top w:w="0" w:type="dxa"/>
              <w:left w:w="108" w:type="dxa"/>
              <w:bottom w:w="0" w:type="dxa"/>
              <w:right w:w="108" w:type="dxa"/>
            </w:tcMar>
            <w:hideMark/>
          </w:tcPr>
          <w:p w14:paraId="19F4DB1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4448512B"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LAND (DOT):</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LAND (TDG):</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SEA (IMDG):</w:t>
      </w:r>
      <w:r>
        <w:rPr>
          <w:rFonts w:ascii="Century Gothic" w:eastAsia="Times New Roman" w:hAnsi="Century Gothic" w:cs="Times New Roman"/>
          <w:sz w:val="24"/>
          <w:szCs w:val="24"/>
        </w:rPr>
        <w:t> Not Regulated for Sea Transport according to IMDG-Code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Marine Pollutant: No</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AIR (IATA):</w:t>
      </w:r>
      <w:r>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D1A04" w14:paraId="3EDCECC5" w14:textId="77777777" w:rsidTr="00DD1A04">
        <w:tc>
          <w:tcPr>
            <w:tcW w:w="9270" w:type="dxa"/>
            <w:tcBorders>
              <w:top w:val="nil"/>
              <w:left w:val="nil"/>
              <w:bottom w:val="nil"/>
              <w:right w:val="nil"/>
            </w:tcBorders>
            <w:shd w:val="clear" w:color="auto" w:fill="FF0000"/>
            <w:tcMar>
              <w:top w:w="0" w:type="dxa"/>
              <w:left w:w="108" w:type="dxa"/>
              <w:bottom w:w="0" w:type="dxa"/>
              <w:right w:w="108" w:type="dxa"/>
            </w:tcMar>
            <w:hideMark/>
          </w:tcPr>
          <w:p w14:paraId="255EBF4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lastRenderedPageBreak/>
              <w:t>SECTION 15                                                    REGULATORY INFORMATION</w:t>
            </w:r>
          </w:p>
        </w:tc>
      </w:tr>
    </w:tbl>
    <w:p w14:paraId="3C742393"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OSHA HAZARD COMMUNICATION STANDARD:</w:t>
      </w:r>
      <w:r>
        <w:rPr>
          <w:rFonts w:ascii="Century Gothic" w:eastAsia="Times New Roman" w:hAnsi="Century Gothic" w:cs="Times New Roman"/>
          <w:sz w:val="24"/>
          <w:szCs w:val="24"/>
        </w:rPr>
        <w:t xml:space="preserve"> This material is no considered hazardous in accordance with OHSA HazCom 2012, 29, CFR 1910. 1200.</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Listed or exempt form listing/notification on the following chemical inventories:</w:t>
      </w:r>
      <w:r>
        <w:rPr>
          <w:rFonts w:ascii="Century Gothic" w:eastAsia="Times New Roman" w:hAnsi="Century Gothic" w:cs="Times New Roman"/>
          <w:sz w:val="24"/>
          <w:szCs w:val="24"/>
        </w:rPr>
        <w:t xml:space="preserve"> AICS, DSL, ENCS, IECSC, KECI, PICCS, TSCA</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EPCRA SECTION 302:</w:t>
      </w:r>
      <w:r>
        <w:rPr>
          <w:rFonts w:ascii="Century Gothic" w:eastAsia="Times New Roman" w:hAnsi="Century Gothic" w:cs="Times New Roman"/>
          <w:sz w:val="24"/>
          <w:szCs w:val="24"/>
        </w:rPr>
        <w:t xml:space="preserve"> This material contains no extremely hazards substances.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SARA (311/312) REPORTABLE HAZARD CATEGORIES</w:t>
      </w:r>
      <w:r>
        <w:rPr>
          <w:rFonts w:ascii="Century Gothic" w:eastAsia="Times New Roman" w:hAnsi="Century Gothic" w:cs="Times New Roman"/>
          <w:sz w:val="24"/>
          <w:szCs w:val="24"/>
        </w:rPr>
        <w:t>: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SARA (313) TOXIC RELEASE INVENTORY:</w:t>
      </w:r>
      <w:r>
        <w:rPr>
          <w:rFonts w:ascii="Century Gothic" w:eastAsia="Times New Roman" w:hAnsi="Century Gothic" w:cs="Times New Roman"/>
          <w:sz w:val="24"/>
          <w:szCs w:val="24"/>
        </w:rPr>
        <w:t xml:space="preserve"> This material contains no chemicals subject to the supplier notification requirements of Sara 313 Toxic Release Program.</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The following ingredients are cited on the lists below:</w:t>
      </w:r>
      <w:r>
        <w:rPr>
          <w:rFonts w:ascii="Century Gothic" w:eastAsia="Times New Roman" w:hAnsi="Century Gothic"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D859F4" w14:paraId="65A139E6" w14:textId="77777777" w:rsidTr="00D859F4">
        <w:tc>
          <w:tcPr>
            <w:tcW w:w="3192" w:type="dxa"/>
          </w:tcPr>
          <w:p w14:paraId="4E85885B"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Chemical Name</w:t>
            </w:r>
          </w:p>
        </w:tc>
        <w:tc>
          <w:tcPr>
            <w:tcW w:w="3192" w:type="dxa"/>
          </w:tcPr>
          <w:p w14:paraId="73CCEF9C"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CAS Number</w:t>
            </w:r>
          </w:p>
        </w:tc>
        <w:tc>
          <w:tcPr>
            <w:tcW w:w="3192" w:type="dxa"/>
          </w:tcPr>
          <w:p w14:paraId="18112ABC"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List Citations</w:t>
            </w:r>
          </w:p>
        </w:tc>
      </w:tr>
      <w:tr w:rsidR="00D859F4" w14:paraId="6F895008" w14:textId="77777777" w:rsidTr="00D859F4">
        <w:tc>
          <w:tcPr>
            <w:tcW w:w="3192" w:type="dxa"/>
          </w:tcPr>
          <w:p w14:paraId="753710F5"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DIPHENYLAMINE</w:t>
            </w:r>
          </w:p>
        </w:tc>
        <w:tc>
          <w:tcPr>
            <w:tcW w:w="3192" w:type="dxa"/>
          </w:tcPr>
          <w:p w14:paraId="5C927020"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122-39-4</w:t>
            </w:r>
          </w:p>
        </w:tc>
        <w:tc>
          <w:tcPr>
            <w:tcW w:w="3192" w:type="dxa"/>
          </w:tcPr>
          <w:p w14:paraId="78E475D4"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18</w:t>
            </w:r>
          </w:p>
        </w:tc>
      </w:tr>
      <w:tr w:rsidR="00D859F4" w14:paraId="66D4810D" w14:textId="77777777" w:rsidTr="00D859F4">
        <w:tc>
          <w:tcPr>
            <w:tcW w:w="3192" w:type="dxa"/>
          </w:tcPr>
          <w:p w14:paraId="01D0333A"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LIGHT PARAFFINIC DISILLATES, PETROLEUM</w:t>
            </w:r>
          </w:p>
        </w:tc>
        <w:tc>
          <w:tcPr>
            <w:tcW w:w="3192" w:type="dxa"/>
          </w:tcPr>
          <w:p w14:paraId="2B49F656"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64742-55-8</w:t>
            </w:r>
          </w:p>
        </w:tc>
        <w:tc>
          <w:tcPr>
            <w:tcW w:w="3192" w:type="dxa"/>
          </w:tcPr>
          <w:p w14:paraId="4F7C18E9"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1, 4, 17, 18 </w:t>
            </w:r>
          </w:p>
        </w:tc>
      </w:tr>
    </w:tbl>
    <w:p w14:paraId="0167CAD5" w14:textId="77777777" w:rsidR="00D859F4" w:rsidRDefault="00D859F4" w:rsidP="00DD1A04">
      <w:pPr>
        <w:spacing w:after="240" w:line="240" w:lineRule="auto"/>
        <w:rPr>
          <w:rFonts w:ascii="Century Gothic" w:eastAsia="Times New Roman" w:hAnsi="Century Gothic" w:cs="Times New Roman"/>
          <w:sz w:val="24"/>
          <w:szCs w:val="24"/>
        </w:rPr>
      </w:pPr>
    </w:p>
    <w:p w14:paraId="05DD1191"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--REGULATORY LISTS SEARCHED—</w:t>
      </w:r>
      <w:r>
        <w:rPr>
          <w:rFonts w:ascii="Century Gothic" w:eastAsia="Times New Roman" w:hAnsi="Century Gothic" w:cs="Times New Roman"/>
          <w:sz w:val="24"/>
          <w:szCs w:val="24"/>
        </w:rPr>
        <w:br/>
        <w:t xml:space="preserve">1 = ACGIH ALL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t>16 = MN RTK</w:t>
      </w:r>
      <w:r>
        <w:rPr>
          <w:rFonts w:ascii="Century Gothic" w:eastAsia="Times New Roman" w:hAnsi="Century Gothic" w:cs="Times New Roman"/>
          <w:sz w:val="24"/>
          <w:szCs w:val="24"/>
        </w:rPr>
        <w:br/>
        <w:t xml:space="preserve">2 = ACGIH A1                    7 = TSCA 5e </w:t>
      </w:r>
      <w:r>
        <w:rPr>
          <w:rFonts w:ascii="Century Gothic" w:eastAsia="Times New Roman" w:hAnsi="Century Gothic" w:cs="Times New Roman"/>
          <w:sz w:val="24"/>
          <w:szCs w:val="24"/>
        </w:rPr>
        <w:tab/>
        <w:t xml:space="preserve">12 = CA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17 = NJ RTK</w:t>
      </w:r>
      <w:r>
        <w:rPr>
          <w:rFonts w:ascii="Century Gothic" w:eastAsia="Times New Roman" w:hAnsi="Century Gothic" w:cs="Times New Roman"/>
          <w:sz w:val="24"/>
          <w:szCs w:val="24"/>
        </w:rPr>
        <w:br/>
        <w:t xml:space="preserve">3 = ACGIH A2                    8 = TSCA 6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13 = IL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18 = PA 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t xml:space="preserve">14 = LA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19 = RI RTK</w:t>
      </w:r>
      <w:r>
        <w:rPr>
          <w:rFonts w:ascii="Century Gothic" w:eastAsia="Times New Roman" w:hAnsi="Century Gothic" w:cs="Times New Roman"/>
          <w:sz w:val="24"/>
          <w:szCs w:val="24"/>
        </w:rPr>
        <w:br/>
        <w:t xml:space="preserve">5 = TSCA 4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10 = CA P6 CARC </w:t>
      </w:r>
      <w:r>
        <w:rPr>
          <w:rFonts w:ascii="Century Gothic" w:eastAsia="Times New Roman" w:hAnsi="Century Gothic" w:cs="Times New Roman"/>
          <w:sz w:val="24"/>
          <w:szCs w:val="24"/>
        </w:rPr>
        <w:tab/>
        <w:t xml:space="preserve">15 = MI 293 </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DD1A04" w14:paraId="13B730F1"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0CF7A665" w14:textId="77777777" w:rsidR="00DD1A04" w:rsidRDefault="00DD1A0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75DD4341" w14:textId="77777777" w:rsidR="00D859F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N/D = Not determined, N/A = Not applicable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KEY TO THE H-CODES CONTAINED IN SECTION 3 OF THIS DOCUMENT (for information only):</w:t>
      </w:r>
      <w:r>
        <w:rPr>
          <w:rFonts w:ascii="Century Gothic" w:eastAsia="Times New Roman" w:hAnsi="Century Gothic" w:cs="Times New Roman"/>
          <w:sz w:val="24"/>
          <w:szCs w:val="24"/>
        </w:rPr>
        <w:br/>
      </w:r>
      <w:r w:rsidR="00D859F4">
        <w:rPr>
          <w:rFonts w:ascii="Century Gothic" w:eastAsia="Times New Roman" w:hAnsi="Century Gothic" w:cs="Times New Roman"/>
          <w:sz w:val="24"/>
          <w:szCs w:val="24"/>
        </w:rPr>
        <w:t>H301: Toxic if swallowed; Acute Tox Oral, Cat 3</w:t>
      </w:r>
      <w:r>
        <w:rPr>
          <w:rFonts w:ascii="Century Gothic" w:eastAsia="Times New Roman" w:hAnsi="Century Gothic" w:cs="Times New Roman"/>
          <w:sz w:val="24"/>
          <w:szCs w:val="24"/>
        </w:rPr>
        <w:br/>
        <w:t>H302: Harmful if swallowed; Acute Tox Oral, Cat 4</w:t>
      </w:r>
    </w:p>
    <w:p w14:paraId="4469FF5E"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H304: May be fatal if swallowed and enters airways; Aspiration, Cat 1</w:t>
      </w:r>
    </w:p>
    <w:p w14:paraId="317694A3"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H311: Toxic in contact with skin; Acute Tox Dermal, Cat 3</w:t>
      </w:r>
    </w:p>
    <w:p w14:paraId="2D3102BD"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H314(1B): Causes severe skin burns and eye damage; Skin Corr/Irriation, Cat 1B</w:t>
      </w:r>
      <w:r w:rsidR="00DD1A04">
        <w:rPr>
          <w:rFonts w:ascii="Century Gothic" w:eastAsia="Times New Roman" w:hAnsi="Century Gothic" w:cs="Times New Roman"/>
          <w:sz w:val="24"/>
          <w:szCs w:val="24"/>
        </w:rPr>
        <w:br/>
        <w:t>H317: May cause allergic skin reaction; Skin Sensitization, Cat 1</w:t>
      </w:r>
      <w:r w:rsidR="00DD1A04">
        <w:rPr>
          <w:rFonts w:ascii="Century Gothic" w:eastAsia="Times New Roman" w:hAnsi="Century Gothic" w:cs="Times New Roman"/>
          <w:sz w:val="24"/>
          <w:szCs w:val="24"/>
        </w:rPr>
        <w:br/>
        <w:t>H</w:t>
      </w:r>
      <w:r>
        <w:rPr>
          <w:rFonts w:ascii="Century Gothic" w:eastAsia="Times New Roman" w:hAnsi="Century Gothic" w:cs="Times New Roman"/>
          <w:sz w:val="24"/>
          <w:szCs w:val="24"/>
        </w:rPr>
        <w:t>330(2): Fatal if inhaled; Acute Tox Inh, Cat 2</w:t>
      </w:r>
    </w:p>
    <w:p w14:paraId="4C42D81D"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H331: Toxic if inhaled; Acute Tox Inh, Cat 3</w:t>
      </w:r>
    </w:p>
    <w:p w14:paraId="3B69A701"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H373: May cause damage to organs through prolonged or repeated exposure; Target Organ, Repeated, Cat 2</w:t>
      </w:r>
    </w:p>
    <w:p w14:paraId="5F389C5D"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H400: Very toxic to aqu</w:t>
      </w:r>
      <w:r w:rsidR="00D859F4">
        <w:rPr>
          <w:rFonts w:ascii="Century Gothic" w:eastAsia="Times New Roman" w:hAnsi="Century Gothic" w:cs="Times New Roman"/>
          <w:sz w:val="24"/>
          <w:szCs w:val="24"/>
        </w:rPr>
        <w:t>atic life; Acute Env Tox, Cat 1</w:t>
      </w:r>
      <w:r>
        <w:rPr>
          <w:rFonts w:ascii="Century Gothic" w:eastAsia="Times New Roman" w:hAnsi="Century Gothic" w:cs="Times New Roman"/>
          <w:sz w:val="24"/>
          <w:szCs w:val="24"/>
        </w:rPr>
        <w:br/>
        <w:t>H410: Very toxic to aquatic life with long lasting effe</w:t>
      </w:r>
      <w:r w:rsidR="00D859F4">
        <w:rPr>
          <w:rFonts w:ascii="Century Gothic" w:eastAsia="Times New Roman" w:hAnsi="Century Gothic" w:cs="Times New Roman"/>
          <w:sz w:val="24"/>
          <w:szCs w:val="24"/>
        </w:rPr>
        <w:t>cts; Chronic Env Tox, Cat 1</w:t>
      </w:r>
      <w:r w:rsidR="00D859F4">
        <w:rPr>
          <w:rFonts w:ascii="Century Gothic" w:eastAsia="Times New Roman" w:hAnsi="Century Gothic" w:cs="Times New Roman"/>
          <w:sz w:val="24"/>
          <w:szCs w:val="24"/>
        </w:rPr>
        <w:br/>
        <w:t>H413: May cause long lasting harmful effects to aquatic life; Chronic Env Tox, Cat 4</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THIS SAFETY DATA SHEET CONTAINS THE FOLLOWING REVISIONS:</w:t>
      </w:r>
      <w:r>
        <w:rPr>
          <w:rFonts w:ascii="Century Gothic" w:eastAsia="Times New Roman" w:hAnsi="Century Gothic" w:cs="Times New Roman"/>
          <w:sz w:val="24"/>
          <w:szCs w:val="24"/>
        </w:rPr>
        <w:br/>
        <w:t>Updates made in accordance with implementations of GHS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9D3952C" w14:textId="77777777" w:rsidR="006E404B" w:rsidRDefault="006E404B"/>
    <w:sectPr w:rsidR="006E40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E45D" w14:textId="77777777" w:rsidR="00AA5C99" w:rsidRDefault="00AA5C99" w:rsidP="00DD1A04">
      <w:pPr>
        <w:spacing w:after="0" w:line="240" w:lineRule="auto"/>
      </w:pPr>
      <w:r>
        <w:separator/>
      </w:r>
    </w:p>
  </w:endnote>
  <w:endnote w:type="continuationSeparator" w:id="0">
    <w:p w14:paraId="7EF90A98" w14:textId="77777777" w:rsidR="00AA5C99" w:rsidRDefault="00AA5C99" w:rsidP="00DD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6D16" w14:textId="77777777" w:rsidR="00AA5C99" w:rsidRDefault="00AA5C99" w:rsidP="00DD1A04">
      <w:pPr>
        <w:spacing w:after="0" w:line="240" w:lineRule="auto"/>
      </w:pPr>
      <w:r>
        <w:separator/>
      </w:r>
    </w:p>
  </w:footnote>
  <w:footnote w:type="continuationSeparator" w:id="0">
    <w:p w14:paraId="3370419D" w14:textId="77777777" w:rsidR="00AA5C99" w:rsidRDefault="00AA5C99" w:rsidP="00DD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BB31" w14:textId="77777777" w:rsidR="00DD1A04" w:rsidRDefault="00DD1A04">
    <w:pPr>
      <w:pStyle w:val="Header"/>
    </w:pPr>
    <w:r>
      <w:rPr>
        <w:noProof/>
      </w:rPr>
      <w:drawing>
        <wp:inline distT="0" distB="0" distL="0" distR="0" wp14:anchorId="716F2B8E" wp14:editId="50E6D8B3">
          <wp:extent cx="5975797" cy="6654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5797"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A04"/>
    <w:rsid w:val="00211E4A"/>
    <w:rsid w:val="002D1FA8"/>
    <w:rsid w:val="00447BE7"/>
    <w:rsid w:val="0047289D"/>
    <w:rsid w:val="005F1D94"/>
    <w:rsid w:val="00683607"/>
    <w:rsid w:val="006E404B"/>
    <w:rsid w:val="00893DDC"/>
    <w:rsid w:val="0090313A"/>
    <w:rsid w:val="00AA5C99"/>
    <w:rsid w:val="00B7577A"/>
    <w:rsid w:val="00D33465"/>
    <w:rsid w:val="00D859F4"/>
    <w:rsid w:val="00DD1A04"/>
    <w:rsid w:val="00E82F4C"/>
    <w:rsid w:val="00E8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85FFE6"/>
  <w15:docId w15:val="{1A83A2C9-177E-459F-B004-A50066C7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A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04"/>
    <w:rPr>
      <w:rFonts w:eastAsiaTheme="minorEastAsia"/>
    </w:rPr>
  </w:style>
  <w:style w:type="paragraph" w:styleId="Footer">
    <w:name w:val="footer"/>
    <w:basedOn w:val="Normal"/>
    <w:link w:val="FooterChar"/>
    <w:uiPriority w:val="99"/>
    <w:unhideWhenUsed/>
    <w:rsid w:val="00DD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04"/>
    <w:rPr>
      <w:rFonts w:eastAsiaTheme="minorEastAsia"/>
    </w:rPr>
  </w:style>
  <w:style w:type="paragraph" w:styleId="BalloonText">
    <w:name w:val="Balloon Text"/>
    <w:basedOn w:val="Normal"/>
    <w:link w:val="BalloonTextChar"/>
    <w:uiPriority w:val="99"/>
    <w:semiHidden/>
    <w:unhideWhenUsed/>
    <w:rsid w:val="00DD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04"/>
    <w:rPr>
      <w:rFonts w:ascii="Tahoma" w:eastAsiaTheme="minorEastAsia" w:hAnsi="Tahoma" w:cs="Tahoma"/>
      <w:sz w:val="16"/>
      <w:szCs w:val="16"/>
    </w:rPr>
  </w:style>
  <w:style w:type="table" w:customStyle="1" w:styleId="TableGrid1">
    <w:name w:val="Table Grid1"/>
    <w:basedOn w:val="TableNormal"/>
    <w:next w:val="TableGrid"/>
    <w:uiPriority w:val="59"/>
    <w:rsid w:val="00DD1A0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7BE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0295-79FB-4319-A8F2-66AFE00B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dcterms:created xsi:type="dcterms:W3CDTF">2017-08-23T17:28:00Z</dcterms:created>
  <dcterms:modified xsi:type="dcterms:W3CDTF">2022-01-07T15:12:00Z</dcterms:modified>
</cp:coreProperties>
</file>