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FF52" w14:textId="77777777" w:rsidR="003E44A6" w:rsidRDefault="003E44A6" w:rsidP="003E44A6">
      <w:pPr>
        <w:spacing w:after="0" w:line="240" w:lineRule="auto"/>
        <w:rPr>
          <w:rFonts w:ascii="Century Gothic" w:eastAsia="Times New Roman" w:hAnsi="Century Gothic" w:cs="Times New Roman"/>
          <w:b/>
          <w:bCs/>
          <w:sz w:val="24"/>
          <w:szCs w:val="24"/>
        </w:rPr>
      </w:pPr>
    </w:p>
    <w:p w14:paraId="13699B06" w14:textId="3DBD6049" w:rsidR="003E44A6" w:rsidRPr="002251EA" w:rsidRDefault="003E44A6" w:rsidP="002251EA">
      <w:pPr>
        <w:spacing w:after="0" w:line="240" w:lineRule="auto"/>
        <w:rPr>
          <w:rFonts w:ascii="Century Gothic" w:eastAsia="Times New Roman" w:hAnsi="Century Gothic" w:cs="Arial"/>
          <w:b/>
          <w:bCs/>
          <w:color w:val="030303"/>
          <w:sz w:val="24"/>
          <w:szCs w:val="24"/>
        </w:rPr>
      </w:pPr>
      <w:r w:rsidRPr="003E44A6">
        <w:rPr>
          <w:rFonts w:ascii="Century Gothic" w:eastAsia="Times New Roman" w:hAnsi="Century Gothic" w:cs="Times New Roman"/>
          <w:b/>
          <w:bCs/>
          <w:sz w:val="24"/>
          <w:szCs w:val="24"/>
        </w:rPr>
        <w:t xml:space="preserve">Safety Data Sheet: </w:t>
      </w:r>
      <w:r w:rsidR="002251EA" w:rsidRPr="002251EA">
        <w:rPr>
          <w:rFonts w:ascii="Century Gothic" w:eastAsia="Times New Roman" w:hAnsi="Century Gothic" w:cs="Times New Roman"/>
          <w:b/>
          <w:sz w:val="24"/>
          <w:szCs w:val="24"/>
        </w:rPr>
        <w:t>PROPYLENE GLYCOL INDUSTRIAL</w:t>
      </w:r>
      <w:r w:rsidR="002251EA">
        <w:rPr>
          <w:rFonts w:ascii="Century Gothic" w:eastAsia="Times New Roman" w:hAnsi="Century Gothic" w:cs="Times New Roman"/>
          <w:sz w:val="24"/>
          <w:szCs w:val="24"/>
        </w:rPr>
        <w:t xml:space="preserve"> </w:t>
      </w:r>
    </w:p>
    <w:p w14:paraId="250EB148" w14:textId="67A68B2D" w:rsidR="002251EA" w:rsidRPr="002251EA" w:rsidRDefault="003E44A6" w:rsidP="002251EA">
      <w:pPr>
        <w:spacing w:after="0" w:line="240" w:lineRule="auto"/>
        <w:rPr>
          <w:rFonts w:ascii="Century Gothic" w:eastAsia="Times New Roman" w:hAnsi="Century Gothic" w:cs="Arial"/>
          <w:b/>
          <w:bCs/>
          <w:color w:val="030303"/>
          <w:sz w:val="24"/>
          <w:szCs w:val="24"/>
        </w:rPr>
      </w:pPr>
      <w:r w:rsidRPr="003E44A6">
        <w:rPr>
          <w:rFonts w:ascii="Century Gothic" w:eastAsia="Times New Roman" w:hAnsi="Century Gothic" w:cs="Arial"/>
          <w:b/>
          <w:bCs/>
          <w:color w:val="030303"/>
          <w:sz w:val="24"/>
          <w:szCs w:val="24"/>
        </w:rPr>
        <w:t xml:space="preserve">Revision Date: </w:t>
      </w:r>
      <w:r w:rsidR="00320619">
        <w:rPr>
          <w:rFonts w:ascii="Century Gothic" w:eastAsia="Times New Roman" w:hAnsi="Century Gothic" w:cs="Arial"/>
          <w:b/>
          <w:bCs/>
          <w:color w:val="030303"/>
          <w:sz w:val="24"/>
          <w:szCs w:val="24"/>
        </w:rPr>
        <w:t xml:space="preserve">January </w:t>
      </w:r>
      <w:r w:rsidR="00CC3CBF">
        <w:rPr>
          <w:rFonts w:ascii="Century Gothic" w:eastAsia="Times New Roman" w:hAnsi="Century Gothic" w:cs="Arial"/>
          <w:b/>
          <w:bCs/>
          <w:color w:val="030303"/>
          <w:sz w:val="24"/>
          <w:szCs w:val="24"/>
        </w:rPr>
        <w:t>2</w:t>
      </w:r>
      <w:r w:rsidR="00CC3CBF" w:rsidRPr="00CC3CBF">
        <w:rPr>
          <w:rFonts w:ascii="Century Gothic" w:eastAsia="Times New Roman" w:hAnsi="Century Gothic" w:cs="Arial"/>
          <w:b/>
          <w:bCs/>
          <w:color w:val="030303"/>
          <w:sz w:val="24"/>
          <w:szCs w:val="24"/>
          <w:vertAlign w:val="superscript"/>
        </w:rPr>
        <w:t>nd</w:t>
      </w:r>
      <w:r w:rsidR="00CC3CBF">
        <w:rPr>
          <w:rFonts w:ascii="Century Gothic" w:eastAsia="Times New Roman" w:hAnsi="Century Gothic" w:cs="Arial"/>
          <w:b/>
          <w:bCs/>
          <w:color w:val="030303"/>
          <w:sz w:val="24"/>
          <w:szCs w:val="24"/>
        </w:rPr>
        <w:t xml:space="preserve"> 20</w:t>
      </w:r>
      <w:r w:rsidR="00401B03">
        <w:rPr>
          <w:rFonts w:ascii="Century Gothic" w:eastAsia="Times New Roman" w:hAnsi="Century Gothic" w:cs="Arial"/>
          <w:b/>
          <w:bCs/>
          <w:color w:val="030303"/>
          <w:sz w:val="24"/>
          <w:szCs w:val="24"/>
        </w:rPr>
        <w:t>2</w:t>
      </w:r>
      <w:r w:rsidR="00EB616C">
        <w:rPr>
          <w:rFonts w:ascii="Century Gothic" w:eastAsia="Times New Roman" w:hAnsi="Century Gothic" w:cs="Arial"/>
          <w:b/>
          <w:bCs/>
          <w:color w:val="030303"/>
          <w:sz w:val="24"/>
          <w:szCs w:val="24"/>
        </w:rPr>
        <w:t>2</w:t>
      </w:r>
      <w:r w:rsidR="002251EA">
        <w:rPr>
          <w:rFonts w:ascii="Century Gothic" w:eastAsia="Times New Roman" w:hAnsi="Century Gothic" w:cs="Arial"/>
          <w:b/>
          <w:bCs/>
          <w:color w:val="030303"/>
          <w:sz w:val="24"/>
          <w:szCs w:val="24"/>
        </w:rPr>
        <w:br/>
      </w:r>
      <w:r w:rsidR="002251EA">
        <w:rPr>
          <w:rFonts w:ascii="Century Gothic" w:eastAsia="Times New Roman" w:hAnsi="Century Gothic" w:cs="Arial"/>
          <w:b/>
          <w:bCs/>
          <w:color w:val="030303"/>
          <w:sz w:val="24"/>
          <w:szCs w:val="24"/>
        </w:rPr>
        <w:br/>
      </w:r>
      <w:r w:rsidR="002251EA">
        <w:rPr>
          <w:rFonts w:ascii="Century Gothic" w:eastAsia="Times New Roman" w:hAnsi="Century Gothic" w:cs="Arial"/>
          <w:b/>
          <w:bCs/>
          <w:color w:val="030303"/>
          <w:sz w:val="24"/>
          <w:szCs w:val="24"/>
        </w:rPr>
        <w:br/>
      </w:r>
      <w:r w:rsidR="002251EA" w:rsidRPr="002251EA">
        <w:rPr>
          <w:rFonts w:ascii="Century Gothic" w:eastAsia="Times New Roman" w:hAnsi="Century Gothic" w:cs="Times New Roman"/>
          <w:b/>
          <w:sz w:val="24"/>
          <w:szCs w:val="24"/>
        </w:rPr>
        <w:t>SECTION 1. PRODUCT AND COMPANY IDENTIFICATION</w:t>
      </w:r>
      <w:r w:rsidR="002251EA" w:rsidRPr="002251EA">
        <w:rPr>
          <w:rFonts w:ascii="Century Gothic" w:eastAsia="Times New Roman" w:hAnsi="Century Gothic" w:cs="Times New Roman"/>
          <w:sz w:val="24"/>
          <w:szCs w:val="24"/>
        </w:rPr>
        <w:t xml:space="preserve"> </w:t>
      </w:r>
    </w:p>
    <w:p w14:paraId="3FB3D4D3" w14:textId="7AA241A5"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Product name : PROPYLENE GLYCOL INDUSTRIAL </w:t>
      </w:r>
      <w:r>
        <w:rPr>
          <w:rFonts w:ascii="Century Gothic" w:eastAsia="Times New Roman" w:hAnsi="Century Gothic" w:cs="Times New Roman"/>
          <w:sz w:val="24"/>
          <w:szCs w:val="24"/>
        </w:rPr>
        <w:br/>
      </w:r>
      <w:r w:rsidRPr="002251EA">
        <w:rPr>
          <w:rFonts w:ascii="Century Gothic" w:eastAsia="Times New Roman" w:hAnsi="Century Gothic" w:cs="Times New Roman"/>
          <w:sz w:val="24"/>
          <w:szCs w:val="24"/>
        </w:rPr>
        <w:t xml:space="preserve">CAS Number: 57-55-6 Chemical characterization : Glycols Chemical Name : 1,2-Propanediol Synonyms : Propylene Glycol, 1,2-Propanediol, 1,2-Dihydroxypropane, </w:t>
      </w:r>
    </w:p>
    <w:p w14:paraId="70F868E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Monopropylene Glycol </w:t>
      </w:r>
    </w:p>
    <w:p w14:paraId="04DE813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Use of the Substance/Mixture </w:t>
      </w:r>
    </w:p>
    <w:p w14:paraId="670F5C6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1 / 13 : Manufacture of substances, Formulation &amp; (re)packing of </w:t>
      </w:r>
    </w:p>
    <w:p w14:paraId="5359350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substance and mixtures, Uses in Coatings, Use in Cleaning Agents, Use as binders and release agents, Agrochemical uses, Functional Fluids, De-icing and anti-icing applications, Other consumer uses, Use in laboratories, Manufacture of rubber products, Polymer production, Water treatment chemicals, Mining chemicals </w:t>
      </w:r>
    </w:p>
    <w:p w14:paraId="20537A26"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Recommended restrictions on use </w:t>
      </w:r>
    </w:p>
    <w:p w14:paraId="3D81D746"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For industrial use only., This product is Not for Human </w:t>
      </w:r>
    </w:p>
    <w:p w14:paraId="392C7F9B"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Consumption. </w:t>
      </w:r>
    </w:p>
    <w:p w14:paraId="2E8FFB9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Emergency telephone : CHEMTREC USA 800-424-9300 </w:t>
      </w:r>
    </w:p>
    <w:p w14:paraId="28DFEBC0" w14:textId="783E8789" w:rsidR="002251EA" w:rsidRPr="002251EA" w:rsidRDefault="002251EA" w:rsidP="002251EA">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sidRPr="002251EA">
        <w:rPr>
          <w:rFonts w:ascii="Century Gothic" w:eastAsia="Times New Roman" w:hAnsi="Century Gothic" w:cs="Times New Roman"/>
          <w:b/>
          <w:sz w:val="24"/>
          <w:szCs w:val="24"/>
        </w:rPr>
        <w:t xml:space="preserve">SECTION 2. HAZARDS IDENTIFICATION </w:t>
      </w:r>
    </w:p>
    <w:p w14:paraId="3163E4B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GHS Classification </w:t>
      </w:r>
    </w:p>
    <w:p w14:paraId="604B052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Not classified as hazardous according to OSHA Hazard Communication Standard 29 CFR 1910.1200 (HazCom 2012). </w:t>
      </w:r>
    </w:p>
    <w:p w14:paraId="3911382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Label elements </w:t>
      </w:r>
    </w:p>
    <w:p w14:paraId="64A4169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Not classified as hazardous according to OSHA Hazard Communication Standard 29 CFR 1910.1200 (HazCom 2012). </w:t>
      </w:r>
    </w:p>
    <w:p w14:paraId="0603AAA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Other hazards </w:t>
      </w:r>
    </w:p>
    <w:p w14:paraId="15149E53" w14:textId="7726417F"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 additional information available. </w:t>
      </w:r>
      <w:r>
        <w:rPr>
          <w:rFonts w:ascii="Century Gothic" w:eastAsia="Times New Roman" w:hAnsi="Century Gothic" w:cs="Times New Roman"/>
          <w:sz w:val="24"/>
          <w:szCs w:val="24"/>
        </w:rPr>
        <w:br/>
      </w:r>
    </w:p>
    <w:p w14:paraId="530A9936" w14:textId="3674D089" w:rsidR="002251EA" w:rsidRPr="002251EA" w:rsidRDefault="002251EA" w:rsidP="002251EA">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 xml:space="preserve">SECTION </w:t>
      </w:r>
      <w:r w:rsidRPr="002251EA">
        <w:rPr>
          <w:rFonts w:ascii="Century Gothic" w:eastAsia="Times New Roman" w:hAnsi="Century Gothic" w:cs="Times New Roman"/>
          <w:b/>
          <w:sz w:val="24"/>
          <w:szCs w:val="24"/>
        </w:rPr>
        <w:t xml:space="preserve">3. Composition/information on ingredients </w:t>
      </w:r>
    </w:p>
    <w:p w14:paraId="58A49C4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Substances </w:t>
      </w:r>
    </w:p>
    <w:p w14:paraId="3E0B828B"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Chemical nature : Substance </w:t>
      </w:r>
    </w:p>
    <w:p w14:paraId="5A9BDDEB"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Ingredients </w:t>
      </w:r>
    </w:p>
    <w:p w14:paraId="289D6EE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Chemical Name CAS-No. </w:t>
      </w:r>
    </w:p>
    <w:p w14:paraId="3AB3F79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EC-No. </w:t>
      </w:r>
    </w:p>
    <w:p w14:paraId="252E691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2 / 13 </w:t>
      </w:r>
    </w:p>
    <w:p w14:paraId="0082A69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Weight % Component </w:t>
      </w:r>
    </w:p>
    <w:p w14:paraId="2F3EE0A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lastRenderedPageBreak/>
        <w:t xml:space="preserve">Type Propylene Glycol 57-55-6 &gt;= 99.0 % A </w:t>
      </w:r>
    </w:p>
    <w:p w14:paraId="1A3C432E" w14:textId="3A70E240"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Key: (A) Substance </w:t>
      </w:r>
      <w:r>
        <w:rPr>
          <w:rFonts w:ascii="Century Gothic" w:eastAsia="Times New Roman" w:hAnsi="Century Gothic" w:cs="Times New Roman"/>
          <w:sz w:val="24"/>
          <w:szCs w:val="24"/>
        </w:rPr>
        <w:br/>
      </w:r>
    </w:p>
    <w:p w14:paraId="14E9EDA7" w14:textId="77777777" w:rsidR="002251EA" w:rsidRPr="002251EA" w:rsidRDefault="002251EA" w:rsidP="002251EA">
      <w:pPr>
        <w:spacing w:after="0" w:line="240" w:lineRule="auto"/>
        <w:rPr>
          <w:rFonts w:ascii="Century Gothic" w:eastAsia="Times New Roman" w:hAnsi="Century Gothic" w:cs="Times New Roman"/>
          <w:b/>
          <w:sz w:val="24"/>
          <w:szCs w:val="24"/>
        </w:rPr>
      </w:pPr>
      <w:r w:rsidRPr="002251EA">
        <w:rPr>
          <w:rFonts w:ascii="Century Gothic" w:eastAsia="Times New Roman" w:hAnsi="Century Gothic" w:cs="Times New Roman"/>
          <w:b/>
          <w:sz w:val="24"/>
          <w:szCs w:val="24"/>
        </w:rPr>
        <w:t xml:space="preserve">SECTION 4. FIRST AID MEASURES </w:t>
      </w:r>
    </w:p>
    <w:p w14:paraId="6D4EE8C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First aid procedures </w:t>
      </w:r>
    </w:p>
    <w:p w14:paraId="07444EC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General advice : May cause irritation of the eyes, skin and mucous </w:t>
      </w:r>
    </w:p>
    <w:p w14:paraId="628FFB7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membranes. Always observe self-protection methods Move out of dangerous area. Remove contaminated shoes and clothing. Show this material safety data sheet to the doctor in attendance. </w:t>
      </w:r>
    </w:p>
    <w:p w14:paraId="48AFF5A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If inhaled : Remove to fresh air. </w:t>
      </w:r>
    </w:p>
    <w:p w14:paraId="216EE7B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In the case of inhalation of aerosol/mist consult a physician if necessary. Not expected to present a significant inhalation hazard under anticipated conditions of normal use. Avoid inhalation of hot vapors or extremely high concentrations of aerosols. </w:t>
      </w:r>
    </w:p>
    <w:p w14:paraId="36BB791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In case of skin contact : Wash skin thoroughly with mild soap and water. </w:t>
      </w:r>
    </w:p>
    <w:p w14:paraId="5120867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In case of eye contact : Flush eyes with water thoroughly and continuously for 15 </w:t>
      </w:r>
    </w:p>
    <w:p w14:paraId="67D3AF1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minutes. Remove contact lenses, if present and easy to do. Continue rinsing. If eye irritation persists, consult a specialist. </w:t>
      </w:r>
    </w:p>
    <w:p w14:paraId="3EF1DF9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If swallowed : Not expected to present a significant ingestion hazard under </w:t>
      </w:r>
    </w:p>
    <w:p w14:paraId="601BD84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anticipated conditions of normal use. </w:t>
      </w:r>
    </w:p>
    <w:p w14:paraId="3606853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Notes to physician </w:t>
      </w:r>
    </w:p>
    <w:p w14:paraId="3331A82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Symptoms : High doses may cause CNS depression (fatigue, dizziness </w:t>
      </w:r>
    </w:p>
    <w:p w14:paraId="130C04A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and possibly loss of concentration, with collapse, coma and death in cases of severe over-exposure). </w:t>
      </w:r>
    </w:p>
    <w:p w14:paraId="4F1C695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Hazards : This product is of low acute toxicity. </w:t>
      </w:r>
    </w:p>
    <w:p w14:paraId="1003130B"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May cause irritation of the eyes, skin and mucous membranes. Hot vapors may cause lung damage. </w:t>
      </w:r>
    </w:p>
    <w:p w14:paraId="60FE42F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Treatment : Treat symptomatically. </w:t>
      </w:r>
    </w:p>
    <w:p w14:paraId="155B0F5D" w14:textId="1A72DC6A"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Treatment of overexposure should be directed at the control of symptoms and the clinical condition of the patient.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p>
    <w:p w14:paraId="61692745" w14:textId="77777777" w:rsidR="002251EA" w:rsidRPr="002251EA" w:rsidRDefault="002251EA" w:rsidP="002251EA">
      <w:pPr>
        <w:spacing w:after="0" w:line="240" w:lineRule="auto"/>
        <w:rPr>
          <w:rFonts w:ascii="Century Gothic" w:eastAsia="Times New Roman" w:hAnsi="Century Gothic" w:cs="Times New Roman"/>
          <w:b/>
          <w:sz w:val="24"/>
          <w:szCs w:val="24"/>
        </w:rPr>
      </w:pPr>
      <w:r w:rsidRPr="002251EA">
        <w:rPr>
          <w:rFonts w:ascii="Century Gothic" w:eastAsia="Times New Roman" w:hAnsi="Century Gothic" w:cs="Times New Roman"/>
          <w:b/>
          <w:sz w:val="24"/>
          <w:szCs w:val="24"/>
        </w:rPr>
        <w:t xml:space="preserve">SECTION 5. FIRE-FIGHTING MEASURES </w:t>
      </w:r>
    </w:p>
    <w:p w14:paraId="1A145CA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Flammable properties </w:t>
      </w:r>
    </w:p>
    <w:p w14:paraId="1A3363A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Flash point : 219 °F (104 °C) </w:t>
      </w:r>
    </w:p>
    <w:p w14:paraId="408320F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at 1000.010 hPa (750.071 mm Hg) </w:t>
      </w:r>
    </w:p>
    <w:p w14:paraId="0193692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Autoignition temperature : &gt; 752 °F (400 °C) </w:t>
      </w:r>
    </w:p>
    <w:p w14:paraId="0F3618C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at 1000.10 - 1014.40 hPa (750.14 - 760.86 mm Hg) </w:t>
      </w:r>
    </w:p>
    <w:p w14:paraId="296207D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Lower explosion limit : ~2.4 vol% </w:t>
      </w:r>
    </w:p>
    <w:p w14:paraId="30D40EF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Upper explosion limit : ~17.4 vol% </w:t>
      </w:r>
    </w:p>
    <w:p w14:paraId="524E4CD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Fire fighting </w:t>
      </w:r>
    </w:p>
    <w:p w14:paraId="20E5C98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lastRenderedPageBreak/>
        <w:t xml:space="preserve">Suitable extinguishing media : SMALL FIRE: Use dry chemicals, CO2, water spray or </w:t>
      </w:r>
    </w:p>
    <w:p w14:paraId="2A7108E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alcohol-resistant foam. LARGE FIRE: Use water spray, water fog or alcohol-resistant foam. </w:t>
      </w:r>
    </w:p>
    <w:p w14:paraId="4D6E422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Unsuitable extinguishing media </w:t>
      </w:r>
    </w:p>
    <w:p w14:paraId="19EBD42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3 / 13 : Do not use solid water stream. </w:t>
      </w:r>
    </w:p>
    <w:p w14:paraId="07362EF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Protective equipment and precautions for firefighters </w:t>
      </w:r>
    </w:p>
    <w:p w14:paraId="44B5657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Specific hazards during fire fighting </w:t>
      </w:r>
    </w:p>
    <w:p w14:paraId="7E018F7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Heat from fire can generate flammable vapor. </w:t>
      </w:r>
    </w:p>
    <w:p w14:paraId="1CE9CC4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When mixed with air and exposed to ignition source, vapors can burn in open or explode if confined. Vapors may be heavier than air. May travel long distances along the ground before igniting and flashing back to vapor source. Fine sprays/mists may be combustible at temperatures below normal flash point. Fight fire from a safe distance/protected location. Heat may build enough pressure to rupture closed containers/spreading fire/increasing risk of burns/injuries. Use water spray/fog for cooling. Avoid frothing/steam explosion. </w:t>
      </w:r>
    </w:p>
    <w:p w14:paraId="7792ABE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Although water soluble, may not be practical to extinguish fire by water dilution. Notify authorities immediately if liquid enters sewer/public waters. </w:t>
      </w:r>
    </w:p>
    <w:p w14:paraId="50D9228B"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Refer to NFPA Code 13 for guidance in using propylene glycol in sprinkler system applications. </w:t>
      </w:r>
    </w:p>
    <w:p w14:paraId="350F0AB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Special protective equipment for fire-fighters </w:t>
      </w:r>
    </w:p>
    <w:p w14:paraId="1D1B98C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4 / 13 : Wear positive pressure self-contained breathing apparatus </w:t>
      </w:r>
    </w:p>
    <w:p w14:paraId="46C0D2E6" w14:textId="6B9780D0"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(SCBA). Structural firefighter’s protective clothing will only provide limited protection.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p>
    <w:p w14:paraId="6E679BC4" w14:textId="77777777" w:rsidR="002251EA" w:rsidRPr="002251EA" w:rsidRDefault="002251EA" w:rsidP="002251EA">
      <w:pPr>
        <w:spacing w:after="0" w:line="240" w:lineRule="auto"/>
        <w:rPr>
          <w:rFonts w:ascii="Century Gothic" w:eastAsia="Times New Roman" w:hAnsi="Century Gothic" w:cs="Times New Roman"/>
          <w:b/>
          <w:sz w:val="24"/>
          <w:szCs w:val="24"/>
        </w:rPr>
      </w:pPr>
      <w:r w:rsidRPr="002251EA">
        <w:rPr>
          <w:rFonts w:ascii="Century Gothic" w:eastAsia="Times New Roman" w:hAnsi="Century Gothic" w:cs="Times New Roman"/>
          <w:b/>
          <w:sz w:val="24"/>
          <w:szCs w:val="24"/>
        </w:rPr>
        <w:t xml:space="preserve">SECTION 6. ACCIDENTAL RELEASE MEASURES </w:t>
      </w:r>
    </w:p>
    <w:p w14:paraId="17CFA2B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Environmental precautions : Try to prevent the material from entering drains or water </w:t>
      </w:r>
    </w:p>
    <w:p w14:paraId="13A231B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courses. </w:t>
      </w:r>
    </w:p>
    <w:p w14:paraId="50599D7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Methods for containment / Methods for cleaning up </w:t>
      </w:r>
    </w:p>
    <w:p w14:paraId="18FA6DE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Extinguish ignition sources; stop release; prevent flow to </w:t>
      </w:r>
    </w:p>
    <w:p w14:paraId="5A569C3E" w14:textId="1BE3A0C6"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sewers or public waters. Notify fire and environmental authorities. Impound/recover large land spill; soak up small spill with inert solids. Soak up small spills with inert solids. Use suitable disposal containers. On water, material is soluble and may float or sink. Contain/collect rapidly to minimize dispersion. Disperse residue to reduce aquatic harm. Report per regulatory requirements.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p>
    <w:p w14:paraId="47B4DD40" w14:textId="77777777" w:rsidR="002251EA" w:rsidRPr="002251EA" w:rsidRDefault="002251EA" w:rsidP="002251EA">
      <w:pPr>
        <w:spacing w:after="0" w:line="240" w:lineRule="auto"/>
        <w:rPr>
          <w:rFonts w:ascii="Century Gothic" w:eastAsia="Times New Roman" w:hAnsi="Century Gothic" w:cs="Times New Roman"/>
          <w:b/>
          <w:sz w:val="24"/>
          <w:szCs w:val="24"/>
        </w:rPr>
      </w:pPr>
      <w:r w:rsidRPr="002251EA">
        <w:rPr>
          <w:rFonts w:ascii="Century Gothic" w:eastAsia="Times New Roman" w:hAnsi="Century Gothic" w:cs="Times New Roman"/>
          <w:b/>
          <w:sz w:val="24"/>
          <w:szCs w:val="24"/>
        </w:rPr>
        <w:t xml:space="preserve">SECTION 7. HANDLING AND STORAGE </w:t>
      </w:r>
    </w:p>
    <w:p w14:paraId="0098BB3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Handling </w:t>
      </w:r>
    </w:p>
    <w:p w14:paraId="4F6AD84B" w14:textId="0D159B75"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lastRenderedPageBreak/>
        <w:t xml:space="preserve">Advice on safe handling : Handle empty containers with care - residue can burn heated. Empty containers should be thoroughly rinsed with copious amounts of clean water. The rinse water can be used for makeup water for any necessary dilution of the concentrated product before use, or it can be properly discarded. </w:t>
      </w:r>
    </w:p>
    <w:p w14:paraId="50F894A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Advice on protection against fire and explosion </w:t>
      </w:r>
    </w:p>
    <w:p w14:paraId="6B6AC71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Normal measures for preventive fire protection. </w:t>
      </w:r>
    </w:p>
    <w:p w14:paraId="7A64BF0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Storage </w:t>
      </w:r>
    </w:p>
    <w:p w14:paraId="0602661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Requirements for storage areas and containers </w:t>
      </w:r>
    </w:p>
    <w:p w14:paraId="25141AE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Handle empty containers with care - residue may be </w:t>
      </w:r>
    </w:p>
    <w:p w14:paraId="0F59353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combustible. Empty containers should be thoroughly rinsed with copious amounts of clean water. </w:t>
      </w:r>
    </w:p>
    <w:p w14:paraId="559ED89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The rinse water can be used for makeup water for any necessary dilution of the concentrated product before use, or it can be properly discarded. </w:t>
      </w:r>
    </w:p>
    <w:p w14:paraId="49E760B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Advice on common storage : Carbon/Mild steel with suitable internal coating, or stainless </w:t>
      </w:r>
    </w:p>
    <w:p w14:paraId="4C76E44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steel </w:t>
      </w:r>
    </w:p>
    <w:p w14:paraId="081FC1A0" w14:textId="4F727B12"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Other data : No decomposition if stored and applied as directed.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p>
    <w:p w14:paraId="4553BE16" w14:textId="77777777" w:rsidR="002251EA" w:rsidRPr="002251EA" w:rsidRDefault="002251EA" w:rsidP="002251EA">
      <w:pPr>
        <w:spacing w:after="0" w:line="240" w:lineRule="auto"/>
        <w:rPr>
          <w:rFonts w:ascii="Century Gothic" w:eastAsia="Times New Roman" w:hAnsi="Century Gothic" w:cs="Times New Roman"/>
          <w:b/>
          <w:sz w:val="24"/>
          <w:szCs w:val="24"/>
        </w:rPr>
      </w:pPr>
      <w:r w:rsidRPr="002251EA">
        <w:rPr>
          <w:rFonts w:ascii="Century Gothic" w:eastAsia="Times New Roman" w:hAnsi="Century Gothic" w:cs="Times New Roman"/>
          <w:b/>
          <w:sz w:val="24"/>
          <w:szCs w:val="24"/>
        </w:rPr>
        <w:t xml:space="preserve">8. Exposure controls/personal protection </w:t>
      </w:r>
    </w:p>
    <w:p w14:paraId="38B03D3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Control parameters </w:t>
      </w:r>
    </w:p>
    <w:p w14:paraId="5C293E0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Ingredients with workplace control parameters </w:t>
      </w:r>
    </w:p>
    <w:p w14:paraId="353E2EB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Consult local authorities for acceptable exposure limits. </w:t>
      </w:r>
    </w:p>
    <w:p w14:paraId="2D942DC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Exposure controls </w:t>
      </w:r>
    </w:p>
    <w:p w14:paraId="28ADF83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Engineering measures </w:t>
      </w:r>
    </w:p>
    <w:p w14:paraId="3517977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 special ventilation is recommended under anticipated conditions of normal use beyond that needed for normal comfort control. </w:t>
      </w:r>
    </w:p>
    <w:p w14:paraId="651B83E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Personal protective equipment </w:t>
      </w:r>
    </w:p>
    <w:p w14:paraId="6B9F370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Respiratory protection : No special respiratory protection equipment is recommended </w:t>
      </w:r>
    </w:p>
    <w:p w14:paraId="560F4E7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under anticipated conditions of normal use. </w:t>
      </w:r>
    </w:p>
    <w:p w14:paraId="2442820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Hand protection : Not normally considered a skin hazard. </w:t>
      </w:r>
    </w:p>
    <w:p w14:paraId="2683FD7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Use chemical resistant gloves appropriate to conditions of use. Wear chemical resistant gloves such as: Nitrile rubber Latex </w:t>
      </w:r>
    </w:p>
    <w:p w14:paraId="30A0C3A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Eye and face protection : Use splash goggles when eye contact due to splashing or </w:t>
      </w:r>
    </w:p>
    <w:p w14:paraId="227DF72B"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spraying liquid is possible. </w:t>
      </w:r>
    </w:p>
    <w:p w14:paraId="557FF3E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Skin and body protection : No special clothing/skin protection equipment is </w:t>
      </w:r>
    </w:p>
    <w:p w14:paraId="28BBCE9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recommended under normal conditions of anticipated use. Where use can result in skin contact, practice good personal hygiene. </w:t>
      </w:r>
    </w:p>
    <w:p w14:paraId="493F9A28" w14:textId="30802DB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lastRenderedPageBreak/>
        <w:t xml:space="preserve">Hygiene measures : Selection of appropriate personal protective equipment should be based on an evaluation of the performance characteristics of the protective equipment relative to the task(s) to be performed, conditions present, duration of use, and the hazards and/or potential hazards that may be encountered during use. Emergency eye wash fountains and safety showers should be available in the immediate vicinity of any potential exposure. Use good personal hygiene practices. Wash hands before eating, drinking, smoking, or using toilet facilities. Take off contaminated clothing and wash before reuse.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p>
    <w:p w14:paraId="2809C6C7" w14:textId="77777777" w:rsidR="002251EA" w:rsidRPr="002251EA" w:rsidRDefault="002251EA" w:rsidP="002251EA">
      <w:pPr>
        <w:spacing w:after="0" w:line="240" w:lineRule="auto"/>
        <w:rPr>
          <w:rFonts w:ascii="Century Gothic" w:eastAsia="Times New Roman" w:hAnsi="Century Gothic" w:cs="Times New Roman"/>
          <w:b/>
          <w:sz w:val="24"/>
          <w:szCs w:val="24"/>
        </w:rPr>
      </w:pPr>
      <w:r w:rsidRPr="002251EA">
        <w:rPr>
          <w:rFonts w:ascii="Century Gothic" w:eastAsia="Times New Roman" w:hAnsi="Century Gothic" w:cs="Times New Roman"/>
          <w:b/>
          <w:sz w:val="24"/>
          <w:szCs w:val="24"/>
        </w:rPr>
        <w:t xml:space="preserve">SECTION 9. PHYSICAL AND CHEMICAL PROPERTIES </w:t>
      </w:r>
    </w:p>
    <w:p w14:paraId="1A1B766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Appearance </w:t>
      </w:r>
    </w:p>
    <w:p w14:paraId="2A99B9B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Physical state : liquid at 68 °F (20 °C) (1,013.25 hPa (760.00 mm Hg)) </w:t>
      </w:r>
    </w:p>
    <w:p w14:paraId="66765DB9" w14:textId="3927883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Color :  </w:t>
      </w:r>
    </w:p>
    <w:p w14:paraId="65F65D8B"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Odor : Little or no odor. </w:t>
      </w:r>
    </w:p>
    <w:p w14:paraId="376F877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Safety data </w:t>
      </w:r>
    </w:p>
    <w:p w14:paraId="4CABF41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Flash point : 219 °F (104 °C) </w:t>
      </w:r>
    </w:p>
    <w:p w14:paraId="7BC0ABE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at 1000.010 hPa (750.071 mm Hg) </w:t>
      </w:r>
    </w:p>
    <w:p w14:paraId="298F1BE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Lower explosion limit : ~2.4 vol% </w:t>
      </w:r>
    </w:p>
    <w:p w14:paraId="722D365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Upper explosion limit : ~17.4 vol% </w:t>
      </w:r>
    </w:p>
    <w:p w14:paraId="4B89A86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Flammability (solid, gas) : not applicable </w:t>
      </w:r>
    </w:p>
    <w:p w14:paraId="7B0D5AE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Oxidizing properties : The substance or mixture is not classified as oxidizing. </w:t>
      </w:r>
    </w:p>
    <w:p w14:paraId="4A64CBD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Autoignition temperature : &gt; 752 °F (400 °C) </w:t>
      </w:r>
    </w:p>
    <w:p w14:paraId="17EE0B5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at 1000.10 - 1014.40 hPa (750.14 - 760.86 mm Hg) </w:t>
      </w:r>
    </w:p>
    <w:p w14:paraId="223606F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Decomposition temperature : not determined </w:t>
      </w:r>
    </w:p>
    <w:p w14:paraId="0DB4E21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pH : no data available </w:t>
      </w:r>
    </w:p>
    <w:p w14:paraId="6F52F32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Melting point/range : &lt; -4 °F (-20 °C) </w:t>
      </w:r>
    </w:p>
    <w:p w14:paraId="5C464A9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Boiling point/boiling range : 363 °F (184 °C) </w:t>
      </w:r>
    </w:p>
    <w:p w14:paraId="0FA7C08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at 1003.20 hPa (752.46 mm Hg) </w:t>
      </w:r>
    </w:p>
    <w:p w14:paraId="319277D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Vapor pressure : 0.2 hPa (0.2 mm Hg) </w:t>
      </w:r>
    </w:p>
    <w:p w14:paraId="5B0CBA7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at 77 °F (25 °C) </w:t>
      </w:r>
    </w:p>
    <w:p w14:paraId="125B348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Density : 1.03 g/cm3 </w:t>
      </w:r>
    </w:p>
    <w:p w14:paraId="4FFA5D0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at 68 °F (20 °C) </w:t>
      </w:r>
    </w:p>
    <w:p w14:paraId="48C68DB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Water solubility : at 68 °F (20 °C) </w:t>
      </w:r>
    </w:p>
    <w:p w14:paraId="0436B8D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Miscible in water. </w:t>
      </w:r>
    </w:p>
    <w:p w14:paraId="425DB50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Partition coefficient: n- octanol/water </w:t>
      </w:r>
    </w:p>
    <w:p w14:paraId="1FF755E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7 / 13 : log Pow: -1.07 </w:t>
      </w:r>
    </w:p>
    <w:p w14:paraId="6EA6DF1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at 68.9 °F (20.5 °C) </w:t>
      </w:r>
    </w:p>
    <w:p w14:paraId="12C8AE2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Viscosity, kinematic : 42.1 mm2/s </w:t>
      </w:r>
    </w:p>
    <w:p w14:paraId="37CEB8E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at 77 °F (25 °C) </w:t>
      </w:r>
    </w:p>
    <w:p w14:paraId="10987DD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Relative vapor density : no data available </w:t>
      </w:r>
    </w:p>
    <w:p w14:paraId="4520679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Surface tension : 71.6 mN/m </w:t>
      </w:r>
    </w:p>
    <w:p w14:paraId="0733C8F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lastRenderedPageBreak/>
        <w:t xml:space="preserve">1.01g/l at 70.7 °F (21.5 °C) </w:t>
      </w:r>
    </w:p>
    <w:p w14:paraId="68B1071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Explosive properties : Not explosive </w:t>
      </w:r>
    </w:p>
    <w:p w14:paraId="6A69DE03" w14:textId="78B839F3"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Remarks - Other information : No additional information available.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sidRPr="002251EA">
        <w:rPr>
          <w:rFonts w:ascii="Century Gothic" w:eastAsia="Times New Roman" w:hAnsi="Century Gothic" w:cs="Times New Roman"/>
          <w:sz w:val="24"/>
          <w:szCs w:val="24"/>
        </w:rPr>
        <w:t xml:space="preserve"> </w:t>
      </w:r>
    </w:p>
    <w:p w14:paraId="7A76FF10" w14:textId="77777777" w:rsidR="002251EA" w:rsidRPr="002251EA" w:rsidRDefault="002251EA" w:rsidP="002251EA">
      <w:pPr>
        <w:spacing w:after="0" w:line="240" w:lineRule="auto"/>
        <w:rPr>
          <w:rFonts w:ascii="Century Gothic" w:eastAsia="Times New Roman" w:hAnsi="Century Gothic" w:cs="Times New Roman"/>
          <w:b/>
          <w:sz w:val="24"/>
          <w:szCs w:val="24"/>
        </w:rPr>
      </w:pPr>
      <w:r w:rsidRPr="002251EA">
        <w:rPr>
          <w:rFonts w:ascii="Century Gothic" w:eastAsia="Times New Roman" w:hAnsi="Century Gothic" w:cs="Times New Roman"/>
          <w:b/>
          <w:sz w:val="24"/>
          <w:szCs w:val="24"/>
        </w:rPr>
        <w:t xml:space="preserve">SECTION 10. STABILITY AND REACTIVITY </w:t>
      </w:r>
    </w:p>
    <w:p w14:paraId="4224112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Reactivity : Stable under recommended storage conditions. </w:t>
      </w:r>
    </w:p>
    <w:p w14:paraId="7CB40206"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Chemical stability : Stable under recommended storage conditions. </w:t>
      </w:r>
    </w:p>
    <w:p w14:paraId="20BEAB1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Conditions to avoid : High temperatures, oxidizing conditions. </w:t>
      </w:r>
    </w:p>
    <w:p w14:paraId="4DB6AEE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May degrade when exposed to light or other radiation sources. </w:t>
      </w:r>
    </w:p>
    <w:p w14:paraId="7461B9E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Materials to avoid : Reacts with strong oxidizing agents. </w:t>
      </w:r>
    </w:p>
    <w:p w14:paraId="64268E4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Strong acids. Isocyanates. </w:t>
      </w:r>
    </w:p>
    <w:p w14:paraId="362D9AF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Hazardous decomposition products </w:t>
      </w:r>
    </w:p>
    <w:p w14:paraId="0E9E55F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Carbon Monoxide and other toxic vapors. </w:t>
      </w:r>
    </w:p>
    <w:p w14:paraId="6B54979B"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Thermal decomposition : Incomplete combustion may produce carbon monoxide and </w:t>
      </w:r>
    </w:p>
    <w:p w14:paraId="2748FBF6"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other toxic gases. </w:t>
      </w:r>
    </w:p>
    <w:p w14:paraId="35F6E08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Hazardous reactions : Not expected to occur. </w:t>
      </w:r>
    </w:p>
    <w:p w14:paraId="5B0FDAC1" w14:textId="3888662A"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This material is stable when properly handled and stored.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p>
    <w:p w14:paraId="0A47FDCD" w14:textId="77777777" w:rsidR="002251EA" w:rsidRPr="002251EA" w:rsidRDefault="002251EA" w:rsidP="002251EA">
      <w:pPr>
        <w:spacing w:after="0" w:line="240" w:lineRule="auto"/>
        <w:rPr>
          <w:rFonts w:ascii="Century Gothic" w:eastAsia="Times New Roman" w:hAnsi="Century Gothic" w:cs="Times New Roman"/>
          <w:b/>
          <w:sz w:val="24"/>
          <w:szCs w:val="24"/>
        </w:rPr>
      </w:pPr>
      <w:r w:rsidRPr="002251EA">
        <w:rPr>
          <w:rFonts w:ascii="Century Gothic" w:eastAsia="Times New Roman" w:hAnsi="Century Gothic" w:cs="Times New Roman"/>
          <w:b/>
          <w:sz w:val="24"/>
          <w:szCs w:val="24"/>
        </w:rPr>
        <w:t xml:space="preserve">SECTION 11. TOXICOLOGICAL INFORMATION </w:t>
      </w:r>
    </w:p>
    <w:p w14:paraId="575A87A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Product Summary : The below given information is based on the assessment of </w:t>
      </w:r>
    </w:p>
    <w:p w14:paraId="4714149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the product including impurities. </w:t>
      </w:r>
    </w:p>
    <w:p w14:paraId="68670B1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Acute toxicity </w:t>
      </w:r>
    </w:p>
    <w:p w14:paraId="5422806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Acute oral toxicity : Based on acute toxicity values, not classified. </w:t>
      </w:r>
    </w:p>
    <w:p w14:paraId="4AA5991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LD50 Oral: 22,000 mg/kg </w:t>
      </w:r>
    </w:p>
    <w:p w14:paraId="4DEF93E6"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Species: rat </w:t>
      </w:r>
    </w:p>
    <w:p w14:paraId="7B09B86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Acute inhalation toxicity : Based on acute toxicity values, not classified. </w:t>
      </w:r>
    </w:p>
    <w:p w14:paraId="3EF3CC5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LC50 (Inhl): &gt; 317 mg/l </w:t>
      </w:r>
    </w:p>
    <w:p w14:paraId="29F3E55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Exposure time: 2 HOURS Species: rabbit </w:t>
      </w:r>
    </w:p>
    <w:p w14:paraId="0CB17D5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Acute dermal toxicity : Based on acute toxicity values, not classified. </w:t>
      </w:r>
    </w:p>
    <w:p w14:paraId="10214FF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LD50 Dermal: &gt; 2,000 mg/kg </w:t>
      </w:r>
    </w:p>
    <w:p w14:paraId="690476E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Species: rabbit </w:t>
      </w:r>
    </w:p>
    <w:p w14:paraId="6B52C8D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Skin corrosion/irritation : Based on skin irritation values, not classified. </w:t>
      </w:r>
    </w:p>
    <w:p w14:paraId="61EFFE8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May cause slight transient skin irritation. </w:t>
      </w:r>
    </w:p>
    <w:p w14:paraId="4F03746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Serious eye damage/eye irritation </w:t>
      </w:r>
    </w:p>
    <w:p w14:paraId="52956F9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8 / 13 : Based on eye irritation values, not classified. </w:t>
      </w:r>
    </w:p>
    <w:p w14:paraId="49E66AA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May produce minimal, fully reversible eye irritation. </w:t>
      </w:r>
    </w:p>
    <w:p w14:paraId="2795E24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Respiratory or skin sensitization </w:t>
      </w:r>
    </w:p>
    <w:p w14:paraId="3C17A42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Respiratory sensitization </w:t>
      </w:r>
    </w:p>
    <w:p w14:paraId="7202240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Not classified no data available </w:t>
      </w:r>
    </w:p>
    <w:p w14:paraId="572CAD3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lastRenderedPageBreak/>
        <w:t xml:space="preserve">: Skin sensitization </w:t>
      </w:r>
    </w:p>
    <w:p w14:paraId="67FD988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Not classified Skin reactions of unknown etiology have been described in some hypersensitive individuals following topical application. </w:t>
      </w:r>
    </w:p>
    <w:p w14:paraId="06D2525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Chronic toxicity </w:t>
      </w:r>
    </w:p>
    <w:p w14:paraId="4DAC688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Carcinogenicity : Not classified </w:t>
      </w:r>
    </w:p>
    <w:p w14:paraId="6A33F0D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 adverse effect observed. </w:t>
      </w:r>
    </w:p>
    <w:p w14:paraId="65AB5F7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Germ cell mutagenicity : Not classified </w:t>
      </w:r>
    </w:p>
    <w:p w14:paraId="3EE7F6C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 adverse effect observed. </w:t>
      </w:r>
    </w:p>
    <w:p w14:paraId="63F4054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Reproductive toxicity </w:t>
      </w:r>
    </w:p>
    <w:p w14:paraId="237BDA86"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Effects on fertility / Effects on or via lactation </w:t>
      </w:r>
    </w:p>
    <w:p w14:paraId="4B1725F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 adverse effect observed. </w:t>
      </w:r>
    </w:p>
    <w:p w14:paraId="52173F5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Effects on Development : Not classified </w:t>
      </w:r>
    </w:p>
    <w:p w14:paraId="60E55CD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 adverse effect observed. </w:t>
      </w:r>
    </w:p>
    <w:p w14:paraId="5A28AB4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Target Organ Systemic Toxicant - Single exposure </w:t>
      </w:r>
    </w:p>
    <w:p w14:paraId="6540B66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Based on single exposure toxicity values, not classified. </w:t>
      </w:r>
    </w:p>
    <w:p w14:paraId="7EA3BE2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Target Organ Systemic Toxicant - Repeated exposure </w:t>
      </w:r>
    </w:p>
    <w:p w14:paraId="6AC1D0D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Based on repeated exposure toxicity values, not classified., </w:t>
      </w:r>
    </w:p>
    <w:p w14:paraId="2876258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Propylene glycol is of low inherent toxicity in rats and dogs after repeated oral exposure, while cats show species-specific hematological changes in red blood cells (other tissues unremarkable). Rats exposed repeatedly to high aerosol concentrations exhibited signs consistent with irritation of the eyes and nasal mucosa but showed no evidence of systemic toxicity. </w:t>
      </w:r>
    </w:p>
    <w:p w14:paraId="578A2F7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Aspiration hazard : Based on physico-chemical values or lack of human evidence, </w:t>
      </w:r>
    </w:p>
    <w:p w14:paraId="6B4CB5E2" w14:textId="433FEDB4"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not </w:t>
      </w:r>
      <w:r>
        <w:rPr>
          <w:rFonts w:ascii="Century Gothic" w:eastAsia="Times New Roman" w:hAnsi="Century Gothic" w:cs="Times New Roman"/>
          <w:sz w:val="24"/>
          <w:szCs w:val="24"/>
        </w:rPr>
        <w:t>classif</w:t>
      </w:r>
      <w:r w:rsidRPr="002251EA">
        <w:rPr>
          <w:rFonts w:ascii="Century Gothic" w:eastAsia="Times New Roman" w:hAnsi="Century Gothic" w:cs="Times New Roman"/>
          <w:sz w:val="24"/>
          <w:szCs w:val="24"/>
        </w:rPr>
        <w:t xml:space="preserve">ied.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p>
    <w:p w14:paraId="78EA9962" w14:textId="77777777" w:rsidR="002251EA" w:rsidRPr="002251EA" w:rsidRDefault="002251EA" w:rsidP="002251EA">
      <w:pPr>
        <w:spacing w:after="0" w:line="240" w:lineRule="auto"/>
        <w:rPr>
          <w:rFonts w:ascii="Century Gothic" w:eastAsia="Times New Roman" w:hAnsi="Century Gothic" w:cs="Times New Roman"/>
          <w:b/>
          <w:sz w:val="24"/>
          <w:szCs w:val="24"/>
        </w:rPr>
      </w:pPr>
      <w:r w:rsidRPr="002251EA">
        <w:rPr>
          <w:rFonts w:ascii="Century Gothic" w:eastAsia="Times New Roman" w:hAnsi="Century Gothic" w:cs="Times New Roman"/>
          <w:b/>
          <w:sz w:val="24"/>
          <w:szCs w:val="24"/>
        </w:rPr>
        <w:t xml:space="preserve">12. ECOLOGICAL INFORMATION </w:t>
      </w:r>
    </w:p>
    <w:p w14:paraId="5B0B2F3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Ecotoxicology Assessment </w:t>
      </w:r>
    </w:p>
    <w:p w14:paraId="571F89D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Acute aquatic toxicity : Based on acute aquatic toxicity values, not classified. </w:t>
      </w:r>
    </w:p>
    <w:p w14:paraId="6FF767F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Chronic aquatic toxicity : Not classified, based on readily biodegradability and low acute </w:t>
      </w:r>
    </w:p>
    <w:p w14:paraId="015CB31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toxicity. </w:t>
      </w:r>
    </w:p>
    <w:p w14:paraId="5C5062E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Toxicity to fish : </w:t>
      </w:r>
    </w:p>
    <w:p w14:paraId="12EE61E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Low acute toxicity to fish </w:t>
      </w:r>
    </w:p>
    <w:p w14:paraId="5E2EAC2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Toxicity to daphnia and other aquatic invertebrates </w:t>
      </w:r>
    </w:p>
    <w:p w14:paraId="3F8EB70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Low acute toxicity to aquatic invertebrates. </w:t>
      </w:r>
    </w:p>
    <w:p w14:paraId="611021C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Toxicity to algae : Low toxicity to algae. </w:t>
      </w:r>
    </w:p>
    <w:p w14:paraId="42EC4C1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Toxicity to bacteria : Low toxicity to sewage microbes. </w:t>
      </w:r>
    </w:p>
    <w:p w14:paraId="07B7FD8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Toxicity to fish (Chronic toxicity) </w:t>
      </w:r>
    </w:p>
    <w:p w14:paraId="3885111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10 / 13 : No study available. </w:t>
      </w:r>
    </w:p>
    <w:p w14:paraId="63EE317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Toxicity to daphnia and other aquatic invertebrates (Chronic toxicity) </w:t>
      </w:r>
    </w:p>
    <w:p w14:paraId="43EBA6D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lastRenderedPageBreak/>
        <w:t xml:space="preserve">: Low chronic toxicity to aquatic invertebrates. </w:t>
      </w:r>
    </w:p>
    <w:p w14:paraId="426BC046"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Persistence and degradability </w:t>
      </w:r>
    </w:p>
    <w:p w14:paraId="3ABC0C2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Biodegradability : Rapidly degradable. </w:t>
      </w:r>
    </w:p>
    <w:p w14:paraId="5B2C16E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72 - 100 % </w:t>
      </w:r>
    </w:p>
    <w:p w14:paraId="45768B3B"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(After 28 days in a ready biodegradability test) </w:t>
      </w:r>
    </w:p>
    <w:p w14:paraId="6FC839F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Bioaccumulative potential </w:t>
      </w:r>
    </w:p>
    <w:p w14:paraId="6F638E6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Bioaccumulation : This material is not expected to bioaccumulate. </w:t>
      </w:r>
    </w:p>
    <w:p w14:paraId="595B7DC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Mobility in soil </w:t>
      </w:r>
    </w:p>
    <w:p w14:paraId="25F6271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Surface tension : 71.6 mN/m </w:t>
      </w:r>
    </w:p>
    <w:p w14:paraId="6F45B23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1.01g/l at 21.5 °C </w:t>
      </w:r>
    </w:p>
    <w:p w14:paraId="5FD27ED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Distribution among environmental compartments </w:t>
      </w:r>
    </w:p>
    <w:p w14:paraId="29589AA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Stability in soil </w:t>
      </w:r>
    </w:p>
    <w:p w14:paraId="4731DA6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Low potential for soil adsorption expected </w:t>
      </w:r>
    </w:p>
    <w:p w14:paraId="5E93695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Stability in water </w:t>
      </w:r>
    </w:p>
    <w:p w14:paraId="583C3D76"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Hydrolytically stable. Molecular structure includes no hydrolysable functional groups. </w:t>
      </w:r>
    </w:p>
    <w:p w14:paraId="1A0ECD6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Additional advice Environmental fate and pathways </w:t>
      </w:r>
    </w:p>
    <w:p w14:paraId="44EBCE9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No additional information available. </w:t>
      </w:r>
    </w:p>
    <w:p w14:paraId="2560C08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Results of PBT and vPvB assessment </w:t>
      </w:r>
    </w:p>
    <w:p w14:paraId="0BC7072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Not applicable. </w:t>
      </w:r>
    </w:p>
    <w:p w14:paraId="6D6A7CF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Other adverse effects </w:t>
      </w:r>
    </w:p>
    <w:p w14:paraId="294A18F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Additional ecological information </w:t>
      </w:r>
    </w:p>
    <w:p w14:paraId="1AAC2C13" w14:textId="5ECCBB4B"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No additional information available.</w:t>
      </w:r>
      <w:r w:rsidR="002E286F">
        <w:rPr>
          <w:rFonts w:ascii="Century Gothic" w:eastAsia="Times New Roman" w:hAnsi="Century Gothic" w:cs="Times New Roman"/>
          <w:sz w:val="24"/>
          <w:szCs w:val="24"/>
        </w:rPr>
        <w:br/>
      </w:r>
      <w:r w:rsidRPr="002251EA">
        <w:rPr>
          <w:rFonts w:ascii="Century Gothic" w:eastAsia="Times New Roman" w:hAnsi="Century Gothic" w:cs="Times New Roman"/>
          <w:sz w:val="24"/>
          <w:szCs w:val="24"/>
        </w:rPr>
        <w:t xml:space="preserve"> </w:t>
      </w:r>
    </w:p>
    <w:p w14:paraId="5A2389CD" w14:textId="77777777" w:rsidR="002251EA" w:rsidRPr="002E286F" w:rsidRDefault="002251EA" w:rsidP="002251EA">
      <w:pPr>
        <w:spacing w:after="0" w:line="240" w:lineRule="auto"/>
        <w:rPr>
          <w:rFonts w:ascii="Century Gothic" w:eastAsia="Times New Roman" w:hAnsi="Century Gothic" w:cs="Times New Roman"/>
          <w:b/>
          <w:sz w:val="24"/>
          <w:szCs w:val="24"/>
        </w:rPr>
      </w:pPr>
      <w:r w:rsidRPr="002E286F">
        <w:rPr>
          <w:rFonts w:ascii="Century Gothic" w:eastAsia="Times New Roman" w:hAnsi="Century Gothic" w:cs="Times New Roman"/>
          <w:b/>
          <w:sz w:val="24"/>
          <w:szCs w:val="24"/>
        </w:rPr>
        <w:t xml:space="preserve">SECTION 13. DISPOSAL CONSIDERATIONS </w:t>
      </w:r>
    </w:p>
    <w:p w14:paraId="206A607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Further information : Comply with federal, state, or local regulations for disposal. </w:t>
      </w:r>
    </w:p>
    <w:p w14:paraId="2C0319F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Landfill solids at permitted sites. </w:t>
      </w:r>
    </w:p>
    <w:p w14:paraId="1AED6A08" w14:textId="09FDBBC4"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Burn concentrated liquids, diluting with clean, low viscosity fuel. Avoid flameouts and assure that emissions comply with all applicable standards/regulations. Dilute aqueous waste may biodegrade. Assure effluent complies with applicable regulations. </w:t>
      </w:r>
      <w:r w:rsidR="002E286F">
        <w:rPr>
          <w:rFonts w:ascii="Century Gothic" w:eastAsia="Times New Roman" w:hAnsi="Century Gothic" w:cs="Times New Roman"/>
          <w:sz w:val="24"/>
          <w:szCs w:val="24"/>
        </w:rPr>
        <w:br/>
      </w:r>
      <w:r w:rsidR="002E286F">
        <w:rPr>
          <w:rFonts w:ascii="Century Gothic" w:eastAsia="Times New Roman" w:hAnsi="Century Gothic" w:cs="Times New Roman"/>
          <w:sz w:val="24"/>
          <w:szCs w:val="24"/>
        </w:rPr>
        <w:br/>
      </w:r>
    </w:p>
    <w:p w14:paraId="21096CA8" w14:textId="77777777" w:rsidR="002251EA" w:rsidRPr="002E286F" w:rsidRDefault="002251EA" w:rsidP="002251EA">
      <w:pPr>
        <w:spacing w:after="0" w:line="240" w:lineRule="auto"/>
        <w:rPr>
          <w:rFonts w:ascii="Century Gothic" w:eastAsia="Times New Roman" w:hAnsi="Century Gothic" w:cs="Times New Roman"/>
          <w:b/>
          <w:sz w:val="24"/>
          <w:szCs w:val="24"/>
        </w:rPr>
      </w:pPr>
      <w:r w:rsidRPr="002E286F">
        <w:rPr>
          <w:rFonts w:ascii="Century Gothic" w:eastAsia="Times New Roman" w:hAnsi="Century Gothic" w:cs="Times New Roman"/>
          <w:b/>
          <w:sz w:val="24"/>
          <w:szCs w:val="24"/>
        </w:rPr>
        <w:t xml:space="preserve">SECTION 14. TRANSPORT INFORMATION </w:t>
      </w:r>
    </w:p>
    <w:p w14:paraId="019A21E8" w14:textId="693AA5F6"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Not regulated for transport </w:t>
      </w:r>
      <w:r w:rsidR="002E286F">
        <w:rPr>
          <w:rFonts w:ascii="Century Gothic" w:eastAsia="Times New Roman" w:hAnsi="Century Gothic" w:cs="Times New Roman"/>
          <w:sz w:val="24"/>
          <w:szCs w:val="24"/>
        </w:rPr>
        <w:br/>
      </w:r>
      <w:r w:rsidR="002E286F">
        <w:rPr>
          <w:rFonts w:ascii="Century Gothic" w:eastAsia="Times New Roman" w:hAnsi="Century Gothic" w:cs="Times New Roman"/>
          <w:sz w:val="24"/>
          <w:szCs w:val="24"/>
        </w:rPr>
        <w:br/>
      </w:r>
    </w:p>
    <w:p w14:paraId="11136F97" w14:textId="77777777" w:rsidR="002251EA" w:rsidRPr="002E286F" w:rsidRDefault="002251EA" w:rsidP="002251EA">
      <w:pPr>
        <w:spacing w:after="0" w:line="240" w:lineRule="auto"/>
        <w:rPr>
          <w:rFonts w:ascii="Century Gothic" w:eastAsia="Times New Roman" w:hAnsi="Century Gothic" w:cs="Times New Roman"/>
          <w:b/>
          <w:sz w:val="24"/>
          <w:szCs w:val="24"/>
        </w:rPr>
      </w:pPr>
      <w:r w:rsidRPr="002E286F">
        <w:rPr>
          <w:rFonts w:ascii="Century Gothic" w:eastAsia="Times New Roman" w:hAnsi="Century Gothic" w:cs="Times New Roman"/>
          <w:b/>
          <w:sz w:val="24"/>
          <w:szCs w:val="24"/>
        </w:rPr>
        <w:t xml:space="preserve">SECTION 15. REGULATORY INFORMATION </w:t>
      </w:r>
    </w:p>
    <w:p w14:paraId="31ACB11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If identified components of this product are listed under the TSCA 12(b) Export Notification rule, they will be listed below. </w:t>
      </w:r>
    </w:p>
    <w:p w14:paraId="4911F43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SARA 302/304 This product contains no known chemicals regulated under SARA 302/304. </w:t>
      </w:r>
    </w:p>
    <w:p w14:paraId="50D3B18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lastRenderedPageBreak/>
        <w:t xml:space="preserve">SARA 311/312 Based upon available information, this material is not classified as a health and/or physical hazard according to Section 311 &amp; 312. </w:t>
      </w:r>
    </w:p>
    <w:p w14:paraId="644F20D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SARA 313 This product contains no known chemicals regulated under SARA 313. </w:t>
      </w:r>
    </w:p>
    <w:p w14:paraId="4B694589" w14:textId="4AAD031F" w:rsidR="0009201D" w:rsidRPr="003E44A6" w:rsidRDefault="002251EA" w:rsidP="002251EA">
      <w:pPr>
        <w:spacing w:after="0" w:line="240" w:lineRule="auto"/>
        <w:rPr>
          <w:rFonts w:ascii="Times New Roman" w:eastAsia="Times New Roman" w:hAnsi="Times New Roman" w:cs="Times New Roman"/>
          <w:sz w:val="24"/>
          <w:szCs w:val="24"/>
        </w:rPr>
      </w:pPr>
      <w:r w:rsidRPr="002251EA">
        <w:rPr>
          <w:rFonts w:ascii="Century Gothic" w:eastAsia="Times New Roman" w:hAnsi="Century Gothic" w:cs="Times New Roman"/>
          <w:sz w:val="24"/>
          <w:szCs w:val="24"/>
        </w:rPr>
        <w:t>State Repor</w:t>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sz w:val="24"/>
          <w:szCs w:val="24"/>
        </w:rPr>
        <w:br/>
        <w:t>THIS SAFETY DATA SHEET CONTAINS THE FOLLOWING REVISIONS:</w:t>
      </w:r>
      <w:r w:rsidR="00CC6B36" w:rsidRPr="003E44A6">
        <w:rPr>
          <w:rFonts w:ascii="Century Gothic" w:eastAsia="Times New Roman" w:hAnsi="Century Gothic" w:cs="Times New Roman"/>
          <w:sz w:val="24"/>
          <w:szCs w:val="24"/>
        </w:rPr>
        <w:br/>
        <w:t>Updates made in accordance with implementations of GHS requirements. </w:t>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09201D" w:rsidRPr="003E44A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7AAF" w14:textId="77777777" w:rsidR="00D9578E" w:rsidRDefault="00D9578E" w:rsidP="0056474F">
      <w:pPr>
        <w:spacing w:after="0" w:line="240" w:lineRule="auto"/>
      </w:pPr>
      <w:r>
        <w:separator/>
      </w:r>
    </w:p>
  </w:endnote>
  <w:endnote w:type="continuationSeparator" w:id="0">
    <w:p w14:paraId="4020DC98" w14:textId="77777777" w:rsidR="00D9578E" w:rsidRDefault="00D9578E" w:rsidP="0056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48449"/>
      <w:docPartObj>
        <w:docPartGallery w:val="Page Numbers (Bottom of Page)"/>
        <w:docPartUnique/>
      </w:docPartObj>
    </w:sdtPr>
    <w:sdtEndPr>
      <w:rPr>
        <w:noProof/>
      </w:rPr>
    </w:sdtEndPr>
    <w:sdtContent>
      <w:p w14:paraId="052DB268" w14:textId="77777777" w:rsidR="0056474F" w:rsidRDefault="0056474F">
        <w:pPr>
          <w:pStyle w:val="Footer"/>
          <w:jc w:val="center"/>
        </w:pPr>
        <w:r>
          <w:fldChar w:fldCharType="begin"/>
        </w:r>
        <w:r>
          <w:instrText xml:space="preserve"> PAGE   \* MERGEFORMAT </w:instrText>
        </w:r>
        <w:r>
          <w:fldChar w:fldCharType="separate"/>
        </w:r>
        <w:r w:rsidR="00F4123E">
          <w:rPr>
            <w:noProof/>
          </w:rPr>
          <w:t>1</w:t>
        </w:r>
        <w:r>
          <w:rPr>
            <w:noProof/>
          </w:rPr>
          <w:fldChar w:fldCharType="end"/>
        </w:r>
      </w:p>
    </w:sdtContent>
  </w:sdt>
  <w:p w14:paraId="45220610" w14:textId="77777777" w:rsidR="0056474F" w:rsidRDefault="00564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6486" w14:textId="77777777" w:rsidR="00D9578E" w:rsidRDefault="00D9578E" w:rsidP="0056474F">
      <w:pPr>
        <w:spacing w:after="0" w:line="240" w:lineRule="auto"/>
      </w:pPr>
      <w:r>
        <w:separator/>
      </w:r>
    </w:p>
  </w:footnote>
  <w:footnote w:type="continuationSeparator" w:id="0">
    <w:p w14:paraId="41BEF1EA" w14:textId="77777777" w:rsidR="00D9578E" w:rsidRDefault="00D9578E" w:rsidP="00564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8A52" w14:textId="77777777" w:rsidR="0056474F" w:rsidRDefault="003E44A6">
    <w:pPr>
      <w:pStyle w:val="Header"/>
    </w:pPr>
    <w:r>
      <w:rPr>
        <w:noProof/>
      </w:rPr>
      <w:drawing>
        <wp:inline distT="0" distB="0" distL="0" distR="0" wp14:anchorId="091B2ECA" wp14:editId="72DE9F32">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B36"/>
    <w:rsid w:val="000474E7"/>
    <w:rsid w:val="0009201D"/>
    <w:rsid w:val="0011088B"/>
    <w:rsid w:val="002251EA"/>
    <w:rsid w:val="0028682A"/>
    <w:rsid w:val="002D70B1"/>
    <w:rsid w:val="002E286F"/>
    <w:rsid w:val="00320619"/>
    <w:rsid w:val="00367DCE"/>
    <w:rsid w:val="003E44A6"/>
    <w:rsid w:val="00401B03"/>
    <w:rsid w:val="00556780"/>
    <w:rsid w:val="0056474F"/>
    <w:rsid w:val="007A2072"/>
    <w:rsid w:val="008D2EA0"/>
    <w:rsid w:val="00905004"/>
    <w:rsid w:val="00C3014D"/>
    <w:rsid w:val="00C54CFA"/>
    <w:rsid w:val="00CC3CBF"/>
    <w:rsid w:val="00CC6B36"/>
    <w:rsid w:val="00D45AE3"/>
    <w:rsid w:val="00D9578E"/>
    <w:rsid w:val="00DA4B38"/>
    <w:rsid w:val="00EB616C"/>
    <w:rsid w:val="00F1390B"/>
    <w:rsid w:val="00F4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6BD089"/>
  <w15:docId w15:val="{5209B3D4-A69F-499C-88F9-1993A5D6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4F"/>
  </w:style>
  <w:style w:type="paragraph" w:styleId="Footer">
    <w:name w:val="footer"/>
    <w:basedOn w:val="Normal"/>
    <w:link w:val="FooterChar"/>
    <w:uiPriority w:val="99"/>
    <w:unhideWhenUsed/>
    <w:rsid w:val="00564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4F"/>
  </w:style>
  <w:style w:type="paragraph" w:styleId="BalloonText">
    <w:name w:val="Balloon Text"/>
    <w:basedOn w:val="Normal"/>
    <w:link w:val="BalloonTextChar"/>
    <w:uiPriority w:val="99"/>
    <w:semiHidden/>
    <w:unhideWhenUsed/>
    <w:rsid w:val="0056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4F"/>
    <w:rPr>
      <w:rFonts w:ascii="Tahoma" w:hAnsi="Tahoma" w:cs="Tahoma"/>
      <w:sz w:val="16"/>
      <w:szCs w:val="16"/>
    </w:rPr>
  </w:style>
  <w:style w:type="table" w:styleId="TableGrid">
    <w:name w:val="Table Grid"/>
    <w:basedOn w:val="TableNormal"/>
    <w:uiPriority w:val="59"/>
    <w:rsid w:val="003E44A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99">
      <w:bodyDiv w:val="1"/>
      <w:marLeft w:val="0"/>
      <w:marRight w:val="0"/>
      <w:marTop w:val="0"/>
      <w:marBottom w:val="0"/>
      <w:divBdr>
        <w:top w:val="none" w:sz="0" w:space="0" w:color="auto"/>
        <w:left w:val="none" w:sz="0" w:space="0" w:color="auto"/>
        <w:bottom w:val="none" w:sz="0" w:space="0" w:color="auto"/>
        <w:right w:val="none" w:sz="0" w:space="0" w:color="auto"/>
      </w:divBdr>
    </w:div>
    <w:div w:id="14431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5</cp:revision>
  <cp:lastPrinted>2015-07-08T14:59:00Z</cp:lastPrinted>
  <dcterms:created xsi:type="dcterms:W3CDTF">2019-07-25T19:35:00Z</dcterms:created>
  <dcterms:modified xsi:type="dcterms:W3CDTF">2022-01-07T15:25:00Z</dcterms:modified>
</cp:coreProperties>
</file>