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0292" w14:textId="77777777" w:rsidR="00C92183" w:rsidRDefault="00C92183" w:rsidP="00C92183">
      <w:pPr>
        <w:spacing w:after="0" w:line="240" w:lineRule="auto"/>
        <w:rPr>
          <w:rFonts w:ascii="Century Gothic" w:eastAsia="Times New Roman" w:hAnsi="Century Gothic" w:cs="Times New Roman"/>
          <w:b/>
          <w:bCs/>
          <w:sz w:val="24"/>
          <w:szCs w:val="24"/>
        </w:rPr>
      </w:pPr>
    </w:p>
    <w:p w14:paraId="261E6B84" w14:textId="4A5072C5" w:rsidR="00C92183" w:rsidRDefault="00C92183" w:rsidP="00C9218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E43AE5">
        <w:rPr>
          <w:rFonts w:ascii="Century Gothic" w:eastAsia="Times New Roman" w:hAnsi="Century Gothic" w:cs="Times New Roman"/>
          <w:b/>
          <w:bCs/>
          <w:sz w:val="24"/>
          <w:szCs w:val="24"/>
        </w:rPr>
        <w:t>Signal</w:t>
      </w:r>
      <w:r w:rsidR="00226024">
        <w:rPr>
          <w:rFonts w:ascii="Century Gothic" w:eastAsia="Times New Roman" w:hAnsi="Century Gothic" w:cs="Times New Roman"/>
          <w:b/>
          <w:bCs/>
          <w:sz w:val="24"/>
          <w:szCs w:val="24"/>
        </w:rPr>
        <w:t xml:space="preserve"> Chiller Fluid</w:t>
      </w:r>
      <w:r w:rsidR="009E37DA">
        <w:rPr>
          <w:rFonts w:ascii="Century Gothic" w:eastAsia="Times New Roman" w:hAnsi="Century Gothic" w:cs="Times New Roman"/>
          <w:b/>
          <w:bCs/>
          <w:sz w:val="24"/>
          <w:szCs w:val="24"/>
        </w:rPr>
        <w:t xml:space="preserve"> </w:t>
      </w:r>
      <w:r w:rsidR="00734552">
        <w:rPr>
          <w:rFonts w:ascii="Century Gothic" w:eastAsia="Times New Roman" w:hAnsi="Century Gothic" w:cs="Times New Roman"/>
          <w:b/>
          <w:bCs/>
          <w:sz w:val="24"/>
          <w:szCs w:val="24"/>
        </w:rPr>
        <w:t xml:space="preserve">30% </w:t>
      </w:r>
      <w:r w:rsidR="009E37DA">
        <w:rPr>
          <w:rFonts w:ascii="Century Gothic" w:eastAsia="Times New Roman" w:hAnsi="Century Gothic" w:cs="Times New Roman"/>
          <w:b/>
          <w:bCs/>
          <w:sz w:val="24"/>
          <w:szCs w:val="24"/>
        </w:rPr>
        <w:t>XP</w:t>
      </w:r>
      <w:r w:rsidR="00A54C54">
        <w:rPr>
          <w:rFonts w:ascii="Century Gothic" w:eastAsia="Times New Roman" w:hAnsi="Century Gothic" w:cs="Times New Roman"/>
          <w:b/>
          <w:bCs/>
          <w:sz w:val="24"/>
          <w:szCs w:val="24"/>
        </w:rPr>
        <w:t xml:space="preserve"> Solution</w:t>
      </w:r>
    </w:p>
    <w:p w14:paraId="780F5D93" w14:textId="544D7988" w:rsidR="00C92183" w:rsidRDefault="00074721" w:rsidP="00C92183">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E0588D">
        <w:rPr>
          <w:rFonts w:ascii="Century Gothic" w:eastAsia="Times New Roman" w:hAnsi="Century Gothic" w:cs="Arial"/>
          <w:b/>
          <w:bCs/>
          <w:color w:val="030303"/>
          <w:sz w:val="24"/>
          <w:szCs w:val="24"/>
        </w:rPr>
        <w:t>January 2</w:t>
      </w:r>
      <w:r w:rsidR="00E0588D">
        <w:rPr>
          <w:rFonts w:ascii="Century Gothic" w:eastAsia="Times New Roman" w:hAnsi="Century Gothic" w:cs="Arial"/>
          <w:b/>
          <w:bCs/>
          <w:color w:val="030303"/>
          <w:sz w:val="24"/>
          <w:szCs w:val="24"/>
          <w:vertAlign w:val="superscript"/>
        </w:rPr>
        <w:t>nd</w:t>
      </w:r>
      <w:r w:rsidR="00E0588D">
        <w:rPr>
          <w:rFonts w:ascii="Century Gothic" w:eastAsia="Times New Roman" w:hAnsi="Century Gothic" w:cs="Arial"/>
          <w:b/>
          <w:bCs/>
          <w:color w:val="030303"/>
          <w:sz w:val="24"/>
          <w:szCs w:val="24"/>
        </w:rPr>
        <w:t xml:space="preserve"> 20</w:t>
      </w:r>
      <w:r w:rsidR="00665AA8">
        <w:rPr>
          <w:rFonts w:ascii="Century Gothic" w:eastAsia="Times New Roman" w:hAnsi="Century Gothic" w:cs="Arial"/>
          <w:b/>
          <w:bCs/>
          <w:color w:val="030303"/>
          <w:sz w:val="24"/>
          <w:szCs w:val="24"/>
        </w:rPr>
        <w:t>2</w:t>
      </w:r>
      <w:r w:rsidR="005A5FAC">
        <w:rPr>
          <w:rFonts w:ascii="Century Gothic" w:eastAsia="Times New Roman" w:hAnsi="Century Gothic" w:cs="Arial"/>
          <w:b/>
          <w:bCs/>
          <w:color w:val="030303"/>
          <w:sz w:val="24"/>
          <w:szCs w:val="24"/>
        </w:rPr>
        <w:t>2</w:t>
      </w:r>
    </w:p>
    <w:p w14:paraId="0085BA35" w14:textId="77777777" w:rsidR="00C92183" w:rsidRDefault="00C92183" w:rsidP="00C9218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84F1844"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254522A7" w14:textId="77777777" w:rsidR="00C92183" w:rsidRDefault="00C92183" w:rsidP="00236F1C">
            <w:pPr>
              <w:spacing w:before="100" w:beforeAutospacing="1" w:after="100" w:afterAutospacing="1" w:line="240" w:lineRule="auto"/>
              <w:rPr>
                <w:rFonts w:ascii="Times New Roman" w:eastAsia="Times New Roman" w:hAnsi="Times New Roman"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                                              PRODUCT AND COMPANY IDENTIFICATION</w:t>
            </w:r>
          </w:p>
        </w:tc>
      </w:tr>
    </w:tbl>
    <w:p w14:paraId="3D62C581" w14:textId="77777777" w:rsidR="00C92183" w:rsidRDefault="00C92183" w:rsidP="00C92183">
      <w:pPr>
        <w:pStyle w:val="NoSpacing"/>
        <w:rPr>
          <w:rFonts w:ascii="Century Gothic" w:hAnsi="Century Gothic"/>
          <w:b/>
          <w:sz w:val="22"/>
          <w:szCs w:val="22"/>
        </w:rPr>
      </w:pPr>
      <w:r>
        <w:rPr>
          <w:rFonts w:ascii="Century Gothic" w:eastAsia="Times New Roman" w:hAnsi="Century Gothic" w:cs="Arial"/>
          <w:sz w:val="20"/>
          <w:szCs w:val="20"/>
        </w:rPr>
        <w:br/>
      </w:r>
      <w:r>
        <w:rPr>
          <w:rFonts w:ascii="Century Gothic" w:hAnsi="Century Gothic"/>
          <w:b/>
          <w:sz w:val="22"/>
          <w:szCs w:val="22"/>
        </w:rPr>
        <w:t>PRODUCT</w:t>
      </w:r>
    </w:p>
    <w:p w14:paraId="113FAB1A" w14:textId="7EEA9E76"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sidR="00E43AE5">
        <w:rPr>
          <w:rFonts w:ascii="Century Gothic" w:hAnsi="Century Gothic"/>
          <w:sz w:val="22"/>
          <w:szCs w:val="22"/>
        </w:rPr>
        <w:t xml:space="preserve"> Signal</w:t>
      </w:r>
      <w:r w:rsidR="00226024">
        <w:rPr>
          <w:rFonts w:ascii="Century Gothic" w:hAnsi="Century Gothic"/>
          <w:sz w:val="22"/>
          <w:szCs w:val="22"/>
        </w:rPr>
        <w:t xml:space="preserve"> Chiller Fluid</w:t>
      </w:r>
      <w:r>
        <w:rPr>
          <w:rFonts w:ascii="Century Gothic" w:hAnsi="Century Gothic"/>
          <w:sz w:val="22"/>
          <w:szCs w:val="22"/>
        </w:rPr>
        <w:t xml:space="preserve"> </w:t>
      </w:r>
      <w:r w:rsidR="00734552">
        <w:rPr>
          <w:rFonts w:ascii="Century Gothic" w:hAnsi="Century Gothic"/>
          <w:sz w:val="22"/>
          <w:szCs w:val="22"/>
        </w:rPr>
        <w:t xml:space="preserve">30% </w:t>
      </w:r>
      <w:r w:rsidR="009E37DA">
        <w:rPr>
          <w:rFonts w:ascii="Century Gothic" w:hAnsi="Century Gothic"/>
          <w:sz w:val="22"/>
          <w:szCs w:val="22"/>
        </w:rPr>
        <w:t>XP</w:t>
      </w:r>
      <w:r w:rsidR="00A54C54">
        <w:rPr>
          <w:rFonts w:ascii="Century Gothic" w:hAnsi="Century Gothic"/>
          <w:sz w:val="22"/>
          <w:szCs w:val="22"/>
        </w:rPr>
        <w:t xml:space="preserve"> Solution</w:t>
      </w:r>
    </w:p>
    <w:p w14:paraId="5293B1A0" w14:textId="77777777" w:rsidR="00C92183" w:rsidRDefault="00C92183" w:rsidP="00C92183">
      <w:pPr>
        <w:pStyle w:val="NoSpacing"/>
        <w:rPr>
          <w:rFonts w:ascii="Century Gothic" w:hAnsi="Century Gothic"/>
          <w:sz w:val="22"/>
          <w:szCs w:val="22"/>
        </w:rPr>
      </w:pPr>
    </w:p>
    <w:p w14:paraId="07123546" w14:textId="77777777" w:rsidR="00C92183" w:rsidRDefault="00C92183" w:rsidP="00C92183">
      <w:pPr>
        <w:pStyle w:val="NoSpacing"/>
        <w:rPr>
          <w:rFonts w:ascii="Century Gothic" w:hAnsi="Century Gothic"/>
          <w:b/>
          <w:sz w:val="22"/>
          <w:szCs w:val="22"/>
        </w:rPr>
      </w:pPr>
      <w:r>
        <w:rPr>
          <w:rFonts w:ascii="Century Gothic" w:hAnsi="Century Gothic"/>
          <w:b/>
          <w:sz w:val="22"/>
          <w:szCs w:val="22"/>
        </w:rPr>
        <w:t>COMPANY IDENTIFICATION</w:t>
      </w:r>
    </w:p>
    <w:p w14:paraId="6092725A"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6D39E22D"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60A6BF5F"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7808966B" w14:textId="77777777" w:rsidR="00C92183" w:rsidRDefault="00C92183" w:rsidP="00C92183">
      <w:pPr>
        <w:pStyle w:val="NoSpacing"/>
        <w:rPr>
          <w:rFonts w:ascii="Century Gothic" w:hAnsi="Century Gothic"/>
          <w:sz w:val="22"/>
          <w:szCs w:val="22"/>
        </w:rPr>
      </w:pPr>
    </w:p>
    <w:p w14:paraId="7C7F912F" w14:textId="77777777" w:rsidR="00C92183" w:rsidRDefault="00C92183" w:rsidP="00C9218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44F1C444" w14:textId="77777777" w:rsidR="00C92183" w:rsidRDefault="0095748A" w:rsidP="0095748A">
      <w:pPr>
        <w:spacing w:after="0" w:line="240" w:lineRule="auto"/>
        <w:rPr>
          <w:rFonts w:ascii="Century Gothic" w:eastAsiaTheme="minorEastAsia" w:hAnsi="Century Gothic"/>
        </w:rPr>
      </w:pPr>
      <w:r w:rsidRPr="000F2C4C">
        <w:rPr>
          <w:rFonts w:ascii="Century Gothic" w:eastAsiaTheme="minorEastAsia" w:hAnsi="Century Gothic"/>
          <w:b/>
        </w:rPr>
        <w:t>Website:</w:t>
      </w:r>
      <w:r>
        <w:rPr>
          <w:rFonts w:ascii="Century Gothic" w:eastAsiaTheme="minorEastAsia" w:hAnsi="Century Gothic"/>
        </w:rPr>
        <w:t xml:space="preserve"> </w:t>
      </w:r>
      <w:r w:rsidRPr="0095748A">
        <w:rPr>
          <w:rFonts w:ascii="Century Gothic" w:eastAsiaTheme="minorEastAsia" w:hAnsi="Century Gothic"/>
        </w:rPr>
        <w:t>www.beaconlubricants.com</w:t>
      </w:r>
    </w:p>
    <w:p w14:paraId="0A0338DA" w14:textId="77777777" w:rsidR="0095748A" w:rsidRPr="0095748A" w:rsidRDefault="0095748A" w:rsidP="0095748A">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B5AD752"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38A8B5FF"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2                                                HAZARDS IDENTIFICATION </w:t>
            </w:r>
          </w:p>
        </w:tc>
      </w:tr>
    </w:tbl>
    <w:p w14:paraId="27033CE8" w14:textId="77777777" w:rsidR="00C92183" w:rsidRPr="004628C1" w:rsidRDefault="00C92183" w:rsidP="00C92183">
      <w:pPr>
        <w:spacing w:after="0" w:line="240" w:lineRule="auto"/>
        <w:rPr>
          <w:rFonts w:ascii="Century Gothic" w:eastAsia="Times New Roman" w:hAnsi="Century Gothic" w:cs="Arial"/>
          <w:b/>
          <w:sz w:val="20"/>
          <w:szCs w:val="20"/>
        </w:rPr>
      </w:pPr>
      <w:r>
        <w:rPr>
          <w:rFonts w:ascii="Century Gothic" w:eastAsia="Times New Roman" w:hAnsi="Century Gothic" w:cs="Arial"/>
          <w:sz w:val="20"/>
          <w:szCs w:val="20"/>
        </w:rPr>
        <w:br/>
      </w:r>
      <w:r w:rsidRPr="004628C1">
        <w:rPr>
          <w:rFonts w:ascii="Century Gothic" w:eastAsia="Times New Roman" w:hAnsi="Century Gothic" w:cs="Arial"/>
          <w:b/>
          <w:sz w:val="20"/>
          <w:szCs w:val="20"/>
        </w:rPr>
        <w:t>This material is not hazardous according to regulatory guidelines (M)SDS Section 15). </w:t>
      </w:r>
    </w:p>
    <w:p w14:paraId="42445B23" w14:textId="77777777" w:rsidR="00C92183" w:rsidRDefault="00C92183" w:rsidP="00C92183">
      <w:pPr>
        <w:spacing w:after="0" w:line="240" w:lineRule="auto"/>
        <w:rPr>
          <w:rFonts w:ascii="Century Gothic" w:eastAsia="Times New Roman" w:hAnsi="Century Gothic" w:cs="Arial"/>
          <w:sz w:val="20"/>
          <w:szCs w:val="20"/>
        </w:rPr>
      </w:pPr>
    </w:p>
    <w:p w14:paraId="536912CC"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Other hazard information: </w:t>
      </w:r>
    </w:p>
    <w:p w14:paraId="01030816" w14:textId="77777777" w:rsidR="00C92183" w:rsidRDefault="00C92183" w:rsidP="00C92183">
      <w:pPr>
        <w:spacing w:after="0" w:line="240" w:lineRule="auto"/>
        <w:rPr>
          <w:rFonts w:ascii="Century Gothic" w:eastAsia="Times New Roman" w:hAnsi="Century Gothic" w:cs="Arial"/>
          <w:sz w:val="20"/>
          <w:szCs w:val="20"/>
        </w:rPr>
      </w:pPr>
    </w:p>
    <w:p w14:paraId="6C59DDA6"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t>HAZARD NOT OTHERWISE CLASSIFIED (HNOC):  </w:t>
      </w:r>
      <w:r>
        <w:rPr>
          <w:rFonts w:ascii="Century Gothic" w:eastAsia="Times New Roman" w:hAnsi="Century Gothic" w:cs="Arial"/>
          <w:sz w:val="20"/>
          <w:szCs w:val="20"/>
        </w:rPr>
        <w:t>None as defined under 29 CFR 1900. 1200.</w:t>
      </w:r>
      <w:r>
        <w:rPr>
          <w:rFonts w:ascii="Century Gothic" w:eastAsia="Times New Roman" w:hAnsi="Century Gothic" w:cs="Arial"/>
          <w:b/>
          <w:bCs/>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PHYSICAL / CHEMICAL HAZARDS </w:t>
      </w:r>
      <w:r>
        <w:rPr>
          <w:rFonts w:ascii="Century Gothic" w:eastAsia="Times New Roman" w:hAnsi="Century Gothic" w:cs="Arial"/>
          <w:sz w:val="20"/>
          <w:szCs w:val="20"/>
        </w:rPr>
        <w:br/>
        <w:t>No significant hazards</w:t>
      </w:r>
      <w:r>
        <w:rPr>
          <w:rFonts w:ascii="Century Gothic" w:eastAsia="Times New Roman" w:hAnsi="Century Gothic" w:cs="Arial"/>
          <w:b/>
          <w:bCs/>
          <w:sz w:val="20"/>
          <w:szCs w:val="20"/>
        </w:rPr>
        <w:t> </w:t>
      </w:r>
      <w:r>
        <w:rPr>
          <w:rFonts w:ascii="Century Gothic" w:eastAsia="Times New Roman" w:hAnsi="Century Gothic" w:cs="Arial"/>
          <w:b/>
          <w:bCs/>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HEALTH HAZARDS</w:t>
      </w:r>
      <w:r>
        <w:rPr>
          <w:rFonts w:ascii="Century Gothic" w:eastAsia="Times New Roman" w:hAnsi="Century Gothic" w:cs="Arial"/>
          <w:sz w:val="20"/>
          <w:szCs w:val="20"/>
        </w:rPr>
        <w:br/>
        <w:t>High-pressure injection under skin may cause serious damage. Mists may be irritating to the eyes, nose, throat and lungs. May be irritating to nose, throat, and lungs.</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HAZARDS</w:t>
      </w:r>
      <w:r>
        <w:rPr>
          <w:rFonts w:ascii="Century Gothic" w:eastAsia="Times New Roman" w:hAnsi="Century Gothic" w:cs="Arial"/>
          <w:sz w:val="20"/>
          <w:szCs w:val="20"/>
        </w:rPr>
        <w:br/>
        <w:t>No significant hazards.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NFPA Hazard ID:</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b/>
          <w:bCs/>
          <w:sz w:val="20"/>
          <w:szCs w:val="20"/>
        </w:rPr>
        <w:t>HMIS Hazard  ID: </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Note:</w:t>
      </w:r>
      <w:r>
        <w:rPr>
          <w:rFonts w:ascii="Century Gothic" w:eastAsia="Times New Roman" w:hAnsi="Century Gothic" w:cs="Arial"/>
          <w:sz w:val="20"/>
          <w:szCs w:val="20"/>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4CEBE07"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4E992935"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3                                               COMPOSITION / INFORMATION ON INGREDIENTS</w:t>
            </w:r>
          </w:p>
        </w:tc>
      </w:tr>
    </w:tbl>
    <w:p w14:paraId="6A5D0255"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This material is defined as a mixture.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Hazardous Substance(s) or Complex Substance(s) required for disclosure</w:t>
      </w:r>
    </w:p>
    <w:tbl>
      <w:tblPr>
        <w:tblStyle w:val="TableGrid"/>
        <w:tblW w:w="0" w:type="auto"/>
        <w:tblLook w:val="04A0" w:firstRow="1" w:lastRow="0" w:firstColumn="1" w:lastColumn="0" w:noHBand="0" w:noVBand="1"/>
      </w:tblPr>
      <w:tblGrid>
        <w:gridCol w:w="3192"/>
        <w:gridCol w:w="3192"/>
        <w:gridCol w:w="3192"/>
      </w:tblGrid>
      <w:tr w:rsidR="00C92183" w14:paraId="5CA337E5" w14:textId="77777777" w:rsidTr="00236F1C">
        <w:tc>
          <w:tcPr>
            <w:tcW w:w="3192" w:type="dxa"/>
          </w:tcPr>
          <w:p w14:paraId="0D2F7762"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lastRenderedPageBreak/>
              <w:t>Ingredient Name</w:t>
            </w:r>
          </w:p>
        </w:tc>
        <w:tc>
          <w:tcPr>
            <w:tcW w:w="3192" w:type="dxa"/>
          </w:tcPr>
          <w:p w14:paraId="7103B1C8"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CAS Number</w:t>
            </w:r>
          </w:p>
        </w:tc>
        <w:tc>
          <w:tcPr>
            <w:tcW w:w="3192" w:type="dxa"/>
          </w:tcPr>
          <w:p w14:paraId="35C834E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 by weight</w:t>
            </w:r>
          </w:p>
        </w:tc>
      </w:tr>
      <w:tr w:rsidR="00C92183" w14:paraId="7919F9C3" w14:textId="77777777" w:rsidTr="00236F1C">
        <w:tc>
          <w:tcPr>
            <w:tcW w:w="3192" w:type="dxa"/>
          </w:tcPr>
          <w:p w14:paraId="7CA43730"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Water</w:t>
            </w:r>
          </w:p>
          <w:p w14:paraId="42E614F6"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Disodium, 2,5-dimercapto-1,3,4-thiadiazole</w:t>
            </w:r>
          </w:p>
        </w:tc>
        <w:tc>
          <w:tcPr>
            <w:tcW w:w="3192" w:type="dxa"/>
          </w:tcPr>
          <w:p w14:paraId="0FBF0A32"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7732-18-5</w:t>
            </w:r>
          </w:p>
          <w:p w14:paraId="2EF6D810"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55906-42-8</w:t>
            </w:r>
          </w:p>
        </w:tc>
        <w:tc>
          <w:tcPr>
            <w:tcW w:w="3192" w:type="dxa"/>
          </w:tcPr>
          <w:p w14:paraId="4ECBA49F"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10</w:t>
            </w:r>
          </w:p>
          <w:p w14:paraId="75773430"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w:t>
            </w:r>
          </w:p>
        </w:tc>
      </w:tr>
      <w:tr w:rsidR="00C92183" w14:paraId="33B19A4A" w14:textId="77777777" w:rsidTr="00236F1C">
        <w:tc>
          <w:tcPr>
            <w:tcW w:w="3192" w:type="dxa"/>
          </w:tcPr>
          <w:p w14:paraId="748FB66E"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Propylene Glycol</w:t>
            </w:r>
          </w:p>
        </w:tc>
        <w:tc>
          <w:tcPr>
            <w:tcW w:w="3192" w:type="dxa"/>
          </w:tcPr>
          <w:p w14:paraId="48569F42"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57-556</w:t>
            </w:r>
          </w:p>
        </w:tc>
        <w:tc>
          <w:tcPr>
            <w:tcW w:w="3192" w:type="dxa"/>
          </w:tcPr>
          <w:p w14:paraId="3E288636" w14:textId="376F5516" w:rsidR="00C92183" w:rsidRDefault="00734552" w:rsidP="00236F1C">
            <w:pPr>
              <w:rPr>
                <w:rFonts w:ascii="Century Gothic" w:eastAsia="Times New Roman" w:hAnsi="Century Gothic" w:cs="Arial"/>
                <w:sz w:val="20"/>
                <w:szCs w:val="20"/>
              </w:rPr>
            </w:pPr>
            <w:r>
              <w:rPr>
                <w:rFonts w:ascii="Century Gothic" w:eastAsia="Times New Roman" w:hAnsi="Century Gothic" w:cs="Arial"/>
                <w:sz w:val="20"/>
                <w:szCs w:val="20"/>
              </w:rPr>
              <w:t>&lt;25% - &gt;40%</w:t>
            </w:r>
          </w:p>
        </w:tc>
      </w:tr>
    </w:tbl>
    <w:p w14:paraId="3F78C619" w14:textId="77777777" w:rsidR="00C92183" w:rsidRDefault="00C92183" w:rsidP="00C92183">
      <w:pPr>
        <w:spacing w:after="0" w:line="240" w:lineRule="auto"/>
        <w:rPr>
          <w:rFonts w:ascii="Century Gothic" w:eastAsia="Times New Roman" w:hAnsi="Century Gothic" w:cs="Arial"/>
          <w:sz w:val="20"/>
          <w:szCs w:val="20"/>
        </w:rPr>
      </w:pPr>
    </w:p>
    <w:p w14:paraId="17549649"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*All Concentrations are percent by weight unless material is a gas. Gas concentrations are in the percent by volume. </w:t>
      </w:r>
    </w:p>
    <w:p w14:paraId="231622E6" w14:textId="77777777" w:rsidR="00C92183" w:rsidRDefault="00C92183" w:rsidP="00C92183">
      <w:pPr>
        <w:spacing w:after="0" w:line="240" w:lineRule="auto"/>
        <w:rPr>
          <w:rFonts w:ascii="Century Gothic" w:eastAsia="Times New Roman" w:hAnsi="Century Gothic" w:cs="Arial"/>
          <w:sz w:val="20"/>
          <w:szCs w:val="20"/>
        </w:rPr>
      </w:pPr>
    </w:p>
    <w:p w14:paraId="234583C2"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CDC77C7"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3FDC150"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0EBE00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4                                                FIRST AID MEASURES</w:t>
            </w:r>
          </w:p>
        </w:tc>
      </w:tr>
    </w:tbl>
    <w:p w14:paraId="58EDD508"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INHALATION</w:t>
      </w:r>
      <w:r>
        <w:rPr>
          <w:rFonts w:ascii="Century Gothic" w:eastAsia="Times New Roman" w:hAnsi="Century Gothic" w:cs="Arial"/>
          <w:sz w:val="20"/>
          <w:szCs w:val="20"/>
        </w:rPr>
        <w:br/>
        <w:t>Remove exposed person to fresh air if adverse effects are observed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CONTACT</w:t>
      </w:r>
      <w:r>
        <w:rPr>
          <w:rFonts w:ascii="Century Gothic" w:eastAsia="Times New Roman" w:hAnsi="Century Gothic" w:cs="Arial"/>
          <w:sz w:val="20"/>
          <w:szCs w:val="20"/>
        </w:rPr>
        <w:br/>
        <w:t xml:space="preserve">Wash with soap and water. If skin irritation occurs, get medical attention.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EYE CONTACT</w:t>
      </w:r>
      <w:r>
        <w:rPr>
          <w:rFonts w:ascii="Century Gothic" w:eastAsia="Times New Roman" w:hAnsi="Century Gothic" w:cs="Arial"/>
          <w:sz w:val="20"/>
          <w:szCs w:val="20"/>
        </w:rPr>
        <w:br/>
        <w:t>Rinse cautiously with water for several minutes. Remove contact lenses, if present and easy to do. Continue rinsing. Immediately call a POSION CENTER/doctor.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INGESTION</w:t>
      </w:r>
      <w:r>
        <w:rPr>
          <w:rFonts w:ascii="Century Gothic" w:eastAsia="Times New Roman" w:hAnsi="Century Gothic" w:cs="Arial"/>
          <w:sz w:val="20"/>
          <w:szCs w:val="20"/>
        </w:rPr>
        <w:br/>
        <w:t>Treat symptomatically. Get medical attention.  </w:t>
      </w:r>
    </w:p>
    <w:p w14:paraId="37126BDF" w14:textId="77777777" w:rsidR="00C92183" w:rsidRDefault="00C92183" w:rsidP="00C92183">
      <w:pPr>
        <w:spacing w:after="0" w:line="240" w:lineRule="auto"/>
        <w:rPr>
          <w:rFonts w:ascii="Century Gothic" w:eastAsia="Times New Roman" w:hAnsi="Century Gothic" w:cs="Arial"/>
          <w:sz w:val="20"/>
          <w:szCs w:val="20"/>
        </w:rPr>
      </w:pPr>
    </w:p>
    <w:p w14:paraId="58C12D4A"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53FC342"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5F3639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5                                                     FIRE FIGHTING MEASURES </w:t>
            </w:r>
          </w:p>
        </w:tc>
      </w:tr>
    </w:tbl>
    <w:p w14:paraId="5A32B868"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EXTINGUISHING MEDIA </w:t>
      </w:r>
      <w:r>
        <w:rPr>
          <w:rFonts w:ascii="Century Gothic" w:eastAsia="Times New Roman" w:hAnsi="Century Gothic" w:cs="Arial"/>
          <w:b/>
          <w:bCs/>
          <w:sz w:val="20"/>
          <w:szCs w:val="20"/>
        </w:rPr>
        <w:br/>
        <w:t>Appropriate Extinguishing Media:</w:t>
      </w:r>
      <w:r>
        <w:rPr>
          <w:rFonts w:ascii="Century Gothic" w:eastAsia="Times New Roman" w:hAnsi="Century Gothic" w:cs="Arial"/>
          <w:sz w:val="20"/>
          <w:szCs w:val="20"/>
        </w:rPr>
        <w:t> CO2, dry chemical, foam, water spray, water fog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Inappropriate Extinguishing Media:</w:t>
      </w:r>
      <w:r>
        <w:rPr>
          <w:rFonts w:ascii="Century Gothic" w:eastAsia="Times New Roman" w:hAnsi="Century Gothic" w:cs="Arial"/>
          <w:sz w:val="20"/>
          <w:szCs w:val="20"/>
        </w:rPr>
        <w:t xml:space="preserve"> Not determined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FIRE FIGHTING</w:t>
      </w:r>
      <w:r>
        <w:rPr>
          <w:rFonts w:ascii="Century Gothic" w:eastAsia="Times New Roman" w:hAnsi="Century Gothic" w:cs="Arial"/>
          <w:sz w:val="20"/>
          <w:szCs w:val="20"/>
        </w:rPr>
        <w:br/>
      </w:r>
      <w:r>
        <w:rPr>
          <w:rFonts w:ascii="Century Gothic" w:eastAsia="Times New Roman" w:hAnsi="Century Gothic" w:cs="Arial"/>
          <w:b/>
          <w:bCs/>
          <w:sz w:val="20"/>
          <w:szCs w:val="20"/>
        </w:rPr>
        <w:t>Fire Fighting Instructions:</w:t>
      </w:r>
      <w:r>
        <w:rPr>
          <w:rFonts w:ascii="Century Gothic" w:eastAsia="Times New Roman" w:hAnsi="Century Gothic" w:cs="Arial"/>
          <w:sz w:val="20"/>
          <w:szCs w:val="20"/>
        </w:rPr>
        <w:t xml:space="preserve"> N/A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8FF2C0A"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66D94A2A"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6                                                           ACCIDENTAL RELEASE MEASURES </w:t>
            </w:r>
          </w:p>
        </w:tc>
      </w:tr>
    </w:tbl>
    <w:p w14:paraId="30493BFF"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NOTIFICATION PROCEDURES</w:t>
      </w:r>
      <w:r>
        <w:rPr>
          <w:rFonts w:ascii="Century Gothic" w:eastAsia="Times New Roman" w:hAnsi="Century Gothic" w:cs="Arial"/>
          <w:sz w:val="20"/>
          <w:szCs w:val="20"/>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lastRenderedPageBreak/>
        <w:t>PROTECTIVE MEASURES</w:t>
      </w:r>
      <w:r>
        <w:rPr>
          <w:rFonts w:ascii="Century Gothic" w:eastAsia="Times New Roman" w:hAnsi="Century Gothic" w:cs="Arial"/>
          <w:sz w:val="20"/>
          <w:szCs w:val="20"/>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SPILL MANAGEMENT </w:t>
      </w:r>
      <w:r>
        <w:rPr>
          <w:rFonts w:ascii="Century Gothic" w:eastAsia="Times New Roman" w:hAnsi="Century Gothic" w:cs="Arial"/>
          <w:sz w:val="20"/>
          <w:szCs w:val="20"/>
        </w:rPr>
        <w:br/>
      </w:r>
      <w:r>
        <w:rPr>
          <w:rFonts w:ascii="Century Gothic" w:eastAsia="Times New Roman" w:hAnsi="Century Gothic" w:cs="Arial"/>
          <w:b/>
          <w:bCs/>
          <w:sz w:val="20"/>
          <w:szCs w:val="20"/>
        </w:rPr>
        <w:t>Land Spill:</w:t>
      </w:r>
      <w:r>
        <w:rPr>
          <w:rFonts w:ascii="Century Gothic" w:eastAsia="Times New Roman" w:hAnsi="Century Gothic" w:cs="Arial"/>
          <w:sz w:val="20"/>
          <w:szCs w:val="20"/>
        </w:rPr>
        <w:t xml:space="preserve"> Stop leak if you can do it without risk. Recover by pumping or with suitable absorbent. </w:t>
      </w:r>
      <w:r>
        <w:rPr>
          <w:rFonts w:ascii="Century Gothic" w:eastAsia="Times New Roman" w:hAnsi="Century Gothic" w:cs="Arial"/>
          <w:sz w:val="20"/>
          <w:szCs w:val="20"/>
        </w:rPr>
        <w:br/>
      </w:r>
      <w:r>
        <w:rPr>
          <w:rFonts w:ascii="Century Gothic" w:eastAsia="Times New Roman" w:hAnsi="Century Gothic" w:cs="Arial"/>
          <w:b/>
          <w:bCs/>
          <w:sz w:val="20"/>
          <w:szCs w:val="20"/>
        </w:rPr>
        <w:t>Water Spill:</w:t>
      </w:r>
      <w:r>
        <w:rPr>
          <w:rFonts w:ascii="Century Gothic" w:eastAsia="Times New Roman" w:hAnsi="Century Gothic" w:cs="Arial"/>
          <w:sz w:val="20"/>
          <w:szCs w:val="20"/>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sz w:val="20"/>
          <w:szCs w:val="20"/>
        </w:rPr>
        <w:br/>
      </w:r>
      <w:r>
        <w:rPr>
          <w:rFonts w:ascii="Century Gothic" w:eastAsia="Times New Roman" w:hAnsi="Century Gothic" w:cs="Arial"/>
          <w:sz w:val="20"/>
          <w:szCs w:val="20"/>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PRECAUTIONS</w:t>
      </w:r>
      <w:r>
        <w:rPr>
          <w:rFonts w:ascii="Century Gothic" w:eastAsia="Times New Roman" w:hAnsi="Century Gothic" w:cs="Arial"/>
          <w:sz w:val="20"/>
          <w:szCs w:val="20"/>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0455B0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48F809B"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7                                                HANDLING AND STORAGE </w:t>
            </w:r>
          </w:p>
        </w:tc>
      </w:tr>
    </w:tbl>
    <w:p w14:paraId="4FC2EA06"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HANDLING</w:t>
      </w:r>
    </w:p>
    <w:p w14:paraId="0398BC07"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Static Accumulator:</w:t>
      </w:r>
      <w:r>
        <w:rPr>
          <w:rFonts w:ascii="Century Gothic" w:eastAsia="Times New Roman" w:hAnsi="Century Gothic" w:cs="Arial"/>
          <w:sz w:val="20"/>
          <w:szCs w:val="20"/>
        </w:rPr>
        <w:t xml:space="preserve"> This material is a static accumulator.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STORAGE:</w:t>
      </w:r>
      <w:r>
        <w:rPr>
          <w:rFonts w:ascii="Century Gothic" w:eastAsia="Times New Roman" w:hAnsi="Century Gothic" w:cs="Arial"/>
          <w:b/>
          <w:bCs/>
          <w:sz w:val="20"/>
          <w:szCs w:val="20"/>
        </w:rPr>
        <w:br/>
      </w:r>
      <w:r>
        <w:rPr>
          <w:rFonts w:ascii="Century Gothic" w:eastAsia="Times New Roman" w:hAnsi="Century Gothic" w:cs="Arial"/>
          <w:sz w:val="20"/>
          <w:szCs w:val="20"/>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54BC7C8C"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157215D6"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8                                                EXPOSURE CONTROLS / PERSONAL PROTECTION</w:t>
            </w:r>
          </w:p>
        </w:tc>
      </w:tr>
    </w:tbl>
    <w:p w14:paraId="5E02DD7A" w14:textId="77777777" w:rsidR="00C92183" w:rsidRDefault="00C92183" w:rsidP="00C92183">
      <w:pPr>
        <w:spacing w:after="0" w:line="240" w:lineRule="auto"/>
        <w:rPr>
          <w:rFonts w:ascii="Century Gothic" w:eastAsia="Times New Roman" w:hAnsi="Century Gothic" w:cs="Arial"/>
          <w:sz w:val="20"/>
          <w:szCs w:val="20"/>
        </w:rPr>
      </w:pPr>
    </w:p>
    <w:p w14:paraId="2EF76A43" w14:textId="77777777" w:rsidR="00C92183" w:rsidRDefault="00C92183" w:rsidP="00C92183">
      <w:pPr>
        <w:spacing w:after="0" w:line="240" w:lineRule="auto"/>
        <w:rPr>
          <w:rFonts w:ascii="Century Gothic" w:eastAsia="Times New Roman" w:hAnsi="Century Gothic" w:cs="Arial"/>
          <w:sz w:val="20"/>
          <w:szCs w:val="20"/>
        </w:rPr>
      </w:pPr>
    </w:p>
    <w:p w14:paraId="64B4571E"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lastRenderedPageBreak/>
        <w:t>Exposure limits/standards for material that can be formed when handling this product: </w:t>
      </w:r>
      <w:r>
        <w:rPr>
          <w:rFonts w:ascii="Century Gothic" w:eastAsia="Times New Roman" w:hAnsi="Century Gothic" w:cs="Arial"/>
          <w:sz w:val="20"/>
          <w:szCs w:val="20"/>
        </w:rPr>
        <w:t>When mists/aerosols can occur the following are recommended: 5 mg/m3 - ACGIH TLV (inhalable fraction), 5 mg.m3 - OSHA PEL.</w:t>
      </w:r>
    </w:p>
    <w:p w14:paraId="757EFE60" w14:textId="77777777" w:rsidR="00C92183" w:rsidRDefault="00C92183" w:rsidP="00C92183">
      <w:pPr>
        <w:spacing w:after="0" w:line="240" w:lineRule="auto"/>
        <w:rPr>
          <w:rFonts w:ascii="Century Gothic" w:eastAsia="Times New Roman" w:hAnsi="Century Gothic" w:cs="Arial"/>
          <w:sz w:val="20"/>
          <w:szCs w:val="20"/>
        </w:rPr>
      </w:pPr>
    </w:p>
    <w:p w14:paraId="23F198F8"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NOTE: Limits/standards shown for guidance only. Follow applicable regulations.</w:t>
      </w:r>
    </w:p>
    <w:p w14:paraId="068631BF"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No biological limits allocated.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ENGINEERING CONTROLS</w:t>
      </w:r>
      <w:r>
        <w:rPr>
          <w:rFonts w:ascii="Century Gothic" w:eastAsia="Times New Roman" w:hAnsi="Century Gothic" w:cs="Arial"/>
          <w:sz w:val="20"/>
          <w:szCs w:val="20"/>
        </w:rPr>
        <w:br/>
      </w:r>
      <w:r>
        <w:rPr>
          <w:rFonts w:ascii="Century Gothic" w:eastAsia="Times New Roman" w:hAnsi="Century Gothic" w:cs="Arial"/>
          <w:sz w:val="20"/>
          <w:szCs w:val="20"/>
        </w:rPr>
        <w:br/>
        <w:t>The level of protection and toes of controls necessary will vary depending upon potential exposure conditions. </w:t>
      </w:r>
      <w:r>
        <w:rPr>
          <w:rFonts w:ascii="Century Gothic" w:eastAsia="Times New Roman" w:hAnsi="Century Gothic" w:cs="Arial"/>
          <w:sz w:val="20"/>
          <w:szCs w:val="20"/>
        </w:rPr>
        <w:br/>
        <w:t>Control measures to consider:</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PERSONAL PROTECTION</w:t>
      </w:r>
      <w:r>
        <w:rPr>
          <w:rFonts w:ascii="Century Gothic" w:eastAsia="Times New Roman" w:hAnsi="Century Gothic" w:cs="Arial"/>
          <w:sz w:val="20"/>
          <w:szCs w:val="20"/>
        </w:rPr>
        <w:br/>
      </w:r>
      <w:r>
        <w:rPr>
          <w:rFonts w:ascii="Century Gothic" w:eastAsia="Times New Roman" w:hAnsi="Century Gothic" w:cs="Arial"/>
          <w:sz w:val="20"/>
          <w:szCs w:val="20"/>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Respiratory Protection:</w:t>
      </w:r>
      <w:r>
        <w:rPr>
          <w:rFonts w:ascii="Century Gothic" w:eastAsia="Times New Roman" w:hAnsi="Century Gothic" w:cs="Arial"/>
          <w:sz w:val="20"/>
          <w:szCs w:val="20"/>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Hand Protection: </w:t>
      </w:r>
      <w:r>
        <w:rPr>
          <w:rFonts w:ascii="Century Gothic" w:eastAsia="Times New Roman" w:hAnsi="Century Gothic" w:cs="Arial"/>
          <w:sz w:val="20"/>
          <w:szCs w:val="20"/>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sz w:val="20"/>
          <w:szCs w:val="20"/>
        </w:rPr>
        <w:br/>
        <w:t>No protection is ordinarily required under normal conditions of use. </w:t>
      </w:r>
    </w:p>
    <w:p w14:paraId="652F2315"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Pr>
          <w:rFonts w:ascii="Century Gothic" w:eastAsia="Times New Roman" w:hAnsi="Century Gothic" w:cs="Arial"/>
          <w:b/>
          <w:bCs/>
          <w:sz w:val="20"/>
          <w:szCs w:val="20"/>
        </w:rPr>
        <w:t>Eye Protection: </w:t>
      </w:r>
      <w:r>
        <w:rPr>
          <w:rFonts w:ascii="Century Gothic" w:eastAsia="Times New Roman" w:hAnsi="Century Gothic" w:cs="Arial"/>
          <w:sz w:val="20"/>
          <w:szCs w:val="20"/>
        </w:rPr>
        <w:t>If contact is likely, safety glasses with side shields are recommended.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and Body Protection:</w:t>
      </w:r>
      <w:r>
        <w:rPr>
          <w:rFonts w:ascii="Century Gothic" w:eastAsia="Times New Roman" w:hAnsi="Century Gothic" w:cs="Arial"/>
          <w:sz w:val="20"/>
          <w:szCs w:val="20"/>
        </w:rPr>
        <w:t xml:space="preserve"> Any specific clothing information provided is based on published literature or manufacturer data. The types of clothing to be considered for this material include: No skin rotation is ordinarily required under normal conditions of use. In accordance with good industrial hygiene practices, precautions should be taken to avoid skin contact.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Specific Hygiene Measures: </w:t>
      </w:r>
      <w:r>
        <w:rPr>
          <w:rFonts w:ascii="Century Gothic" w:eastAsia="Times New Roman" w:hAnsi="Century Gothic" w:cs="Arial"/>
          <w:sz w:val="20"/>
          <w:szCs w:val="20"/>
        </w:rPr>
        <w:t xml:space="preserve">Always observe good personal hygiene measures, such as washing after handling the material and before eating, drinking, and/or smoking. Routinely wash work </w:t>
      </w:r>
      <w:r>
        <w:rPr>
          <w:rFonts w:ascii="Century Gothic" w:eastAsia="Times New Roman" w:hAnsi="Century Gothic" w:cs="Arial"/>
          <w:sz w:val="20"/>
          <w:szCs w:val="20"/>
        </w:rPr>
        <w:lastRenderedPageBreak/>
        <w:t>clothing and protective equipment to remove contaminants. Discard contaminated clothing and footwear that cannot be cleaned. Practice good housekeeping.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Controls</w:t>
      </w:r>
      <w:r>
        <w:rPr>
          <w:rFonts w:ascii="Century Gothic" w:eastAsia="Times New Roman" w:hAnsi="Century Gothic" w:cs="Arial"/>
          <w:sz w:val="20"/>
          <w:szCs w:val="20"/>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F1183B1"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C61CD65"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9                                                PHYSICAL AND CHEMICAL PROPERTIES</w:t>
            </w:r>
          </w:p>
        </w:tc>
      </w:tr>
    </w:tbl>
    <w:p w14:paraId="4DF5FBA3" w14:textId="0E1C30BD"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GENERAL INFORMATION</w:t>
      </w:r>
      <w:r>
        <w:rPr>
          <w:rFonts w:ascii="Century Gothic" w:eastAsia="Times New Roman" w:hAnsi="Century Gothic" w:cs="Arial"/>
          <w:sz w:val="20"/>
          <w:szCs w:val="20"/>
        </w:rPr>
        <w:br/>
      </w:r>
      <w:r>
        <w:rPr>
          <w:rFonts w:ascii="Century Gothic" w:eastAsia="Times New Roman" w:hAnsi="Century Gothic" w:cs="Arial"/>
          <w:b/>
          <w:bCs/>
          <w:sz w:val="20"/>
          <w:szCs w:val="20"/>
        </w:rPr>
        <w:t>Physical State:</w:t>
      </w:r>
      <w:r>
        <w:rPr>
          <w:rFonts w:ascii="Century Gothic" w:eastAsia="Times New Roman" w:hAnsi="Century Gothic" w:cs="Arial"/>
          <w:sz w:val="20"/>
          <w:szCs w:val="20"/>
        </w:rPr>
        <w:t xml:space="preserve"> Liquid</w:t>
      </w:r>
      <w:r>
        <w:rPr>
          <w:rFonts w:ascii="Century Gothic" w:eastAsia="Times New Roman" w:hAnsi="Century Gothic" w:cs="Arial"/>
          <w:sz w:val="20"/>
          <w:szCs w:val="20"/>
        </w:rPr>
        <w:br/>
      </w:r>
      <w:r>
        <w:rPr>
          <w:rFonts w:ascii="Century Gothic" w:eastAsia="Times New Roman" w:hAnsi="Century Gothic" w:cs="Arial"/>
          <w:b/>
          <w:bCs/>
          <w:sz w:val="20"/>
          <w:szCs w:val="20"/>
        </w:rPr>
        <w:t>Color:</w:t>
      </w:r>
      <w:r>
        <w:rPr>
          <w:rFonts w:ascii="Century Gothic" w:eastAsia="Times New Roman" w:hAnsi="Century Gothic" w:cs="Arial"/>
          <w:sz w:val="20"/>
          <w:szCs w:val="20"/>
        </w:rPr>
        <w:t xml:space="preserve"> </w:t>
      </w:r>
      <w:r w:rsidR="00C85A78">
        <w:rPr>
          <w:rFonts w:ascii="Century Gothic" w:eastAsia="Times New Roman" w:hAnsi="Century Gothic" w:cs="Arial"/>
          <w:sz w:val="20"/>
          <w:szCs w:val="20"/>
        </w:rPr>
        <w:t xml:space="preserve">Translucent Orange </w:t>
      </w:r>
      <w:r>
        <w:rPr>
          <w:rFonts w:ascii="Century Gothic" w:eastAsia="Times New Roman" w:hAnsi="Century Gothic" w:cs="Arial"/>
          <w:sz w:val="20"/>
          <w:szCs w:val="20"/>
        </w:rPr>
        <w:br/>
      </w:r>
      <w:r>
        <w:rPr>
          <w:rFonts w:ascii="Century Gothic" w:eastAsia="Times New Roman" w:hAnsi="Century Gothic" w:cs="Arial"/>
          <w:b/>
          <w:bCs/>
          <w:sz w:val="20"/>
          <w:szCs w:val="20"/>
        </w:rPr>
        <w:t>Odor:</w:t>
      </w:r>
      <w:r>
        <w:rPr>
          <w:rFonts w:ascii="Century Gothic" w:eastAsia="Times New Roman" w:hAnsi="Century Gothic" w:cs="Arial"/>
          <w:sz w:val="20"/>
          <w:szCs w:val="20"/>
        </w:rPr>
        <w:t xml:space="preserve"> Characteristic </w:t>
      </w:r>
      <w:r>
        <w:rPr>
          <w:rFonts w:ascii="Century Gothic" w:eastAsia="Times New Roman" w:hAnsi="Century Gothic" w:cs="Arial"/>
          <w:sz w:val="20"/>
          <w:szCs w:val="20"/>
        </w:rPr>
        <w:br/>
      </w:r>
      <w:r>
        <w:rPr>
          <w:rFonts w:ascii="Century Gothic" w:eastAsia="Times New Roman" w:hAnsi="Century Gothic" w:cs="Arial"/>
          <w:b/>
          <w:bCs/>
          <w:sz w:val="20"/>
          <w:szCs w:val="20"/>
        </w:rPr>
        <w:t>Odor Threshold:</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IMPORTANT HEALTH, SAFETY, AND ENVIRONMENTAL INFORMATION</w:t>
      </w:r>
      <w:r>
        <w:rPr>
          <w:rFonts w:ascii="Century Gothic" w:eastAsia="Times New Roman" w:hAnsi="Century Gothic" w:cs="Arial"/>
          <w:sz w:val="20"/>
          <w:szCs w:val="20"/>
        </w:rPr>
        <w:br/>
      </w:r>
      <w:r>
        <w:rPr>
          <w:rFonts w:ascii="Century Gothic" w:eastAsia="Times New Roman" w:hAnsi="Century Gothic" w:cs="Arial"/>
          <w:b/>
          <w:bCs/>
          <w:sz w:val="20"/>
          <w:szCs w:val="20"/>
        </w:rPr>
        <w:t>Relative Density (at 15°C):</w:t>
      </w:r>
      <w:r>
        <w:rPr>
          <w:rFonts w:ascii="Century Gothic" w:eastAsia="Times New Roman" w:hAnsi="Century Gothic" w:cs="Arial"/>
          <w:sz w:val="20"/>
          <w:szCs w:val="20"/>
        </w:rPr>
        <w:t xml:space="preserve"> </w:t>
      </w:r>
      <w:r w:rsidR="00A54C54">
        <w:rPr>
          <w:rFonts w:ascii="Century Gothic" w:eastAsia="Times New Roman" w:hAnsi="Century Gothic" w:cs="Arial"/>
          <w:sz w:val="20"/>
          <w:szCs w:val="20"/>
        </w:rPr>
        <w:t>1.06</w:t>
      </w:r>
      <w:r>
        <w:rPr>
          <w:rFonts w:ascii="Century Gothic" w:eastAsia="Times New Roman" w:hAnsi="Century Gothic" w:cs="Arial"/>
          <w:sz w:val="20"/>
          <w:szCs w:val="20"/>
        </w:rPr>
        <w:br/>
      </w:r>
      <w:r>
        <w:rPr>
          <w:rFonts w:ascii="Century Gothic" w:eastAsia="Times New Roman" w:hAnsi="Century Gothic" w:cs="Arial"/>
          <w:b/>
          <w:bCs/>
          <w:sz w:val="20"/>
          <w:szCs w:val="20"/>
        </w:rPr>
        <w:t>Flammability (Solid, Gas):</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Flash Point [Method]:</w:t>
      </w:r>
      <w:r>
        <w:rPr>
          <w:rFonts w:ascii="Century Gothic" w:eastAsia="Times New Roman" w:hAnsi="Century Gothic" w:cs="Arial"/>
          <w:sz w:val="20"/>
          <w:szCs w:val="20"/>
        </w:rPr>
        <w:t xml:space="preserve"> 216°C (421°F) [ASTM D-92] </w:t>
      </w:r>
      <w:r>
        <w:rPr>
          <w:rFonts w:ascii="Century Gothic" w:eastAsia="Times New Roman" w:hAnsi="Century Gothic" w:cs="Arial"/>
          <w:sz w:val="20"/>
          <w:szCs w:val="20"/>
        </w:rPr>
        <w:br/>
      </w:r>
      <w:r>
        <w:rPr>
          <w:rFonts w:ascii="Century Gothic" w:eastAsia="Times New Roman" w:hAnsi="Century Gothic" w:cs="Arial"/>
          <w:b/>
          <w:bCs/>
          <w:sz w:val="20"/>
          <w:szCs w:val="20"/>
        </w:rPr>
        <w:t>Flammable Limits (Approximate volume % in air):</w:t>
      </w:r>
      <w:r>
        <w:rPr>
          <w:rFonts w:ascii="Century Gothic" w:eastAsia="Times New Roman" w:hAnsi="Century Gothic" w:cs="Arial"/>
          <w:sz w:val="20"/>
          <w:szCs w:val="20"/>
        </w:rPr>
        <w:t xml:space="preserve"> LEL: 0.9 UEL: 7.0</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Autoignition Temperature: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Boiling Point / Range:</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Decomposition Temperature</w:t>
      </w:r>
      <w:r>
        <w:rPr>
          <w:rFonts w:ascii="Century Gothic" w:eastAsia="Times New Roman" w:hAnsi="Century Gothic" w:cs="Arial"/>
          <w:sz w:val="20"/>
          <w:szCs w:val="20"/>
        </w:rPr>
        <w:t>: N/D</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Vapor Density (Air = 1):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Vapor Pressure:</w:t>
      </w:r>
      <w:r>
        <w:rPr>
          <w:rFonts w:ascii="Century Gothic" w:eastAsia="Times New Roman" w:hAnsi="Century Gothic" w:cs="Arial"/>
          <w:sz w:val="20"/>
          <w:szCs w:val="20"/>
        </w:rPr>
        <w:t xml:space="preserve"> [N/D at 20°C]</w:t>
      </w:r>
      <w:r>
        <w:rPr>
          <w:rFonts w:ascii="Century Gothic" w:eastAsia="Times New Roman" w:hAnsi="Century Gothic" w:cs="Arial"/>
          <w:sz w:val="20"/>
          <w:szCs w:val="20"/>
        </w:rPr>
        <w:br/>
      </w:r>
      <w:r>
        <w:rPr>
          <w:rFonts w:ascii="Century Gothic" w:eastAsia="Times New Roman" w:hAnsi="Century Gothic" w:cs="Arial"/>
          <w:b/>
          <w:bCs/>
          <w:sz w:val="20"/>
          <w:szCs w:val="20"/>
        </w:rPr>
        <w:t>Evaporation Rate (n-butyl acetate = 1):</w:t>
      </w:r>
      <w:r>
        <w:rPr>
          <w:rFonts w:ascii="Century Gothic" w:eastAsia="Times New Roman" w:hAnsi="Century Gothic" w:cs="Arial"/>
          <w:sz w:val="20"/>
          <w:szCs w:val="20"/>
        </w:rPr>
        <w:t xml:space="preserve"> N/D </w:t>
      </w:r>
      <w:r>
        <w:rPr>
          <w:rFonts w:ascii="Century Gothic" w:eastAsia="Times New Roman" w:hAnsi="Century Gothic" w:cs="Arial"/>
          <w:sz w:val="20"/>
          <w:szCs w:val="20"/>
        </w:rPr>
        <w:br/>
      </w:r>
      <w:r>
        <w:rPr>
          <w:rFonts w:ascii="Century Gothic" w:eastAsia="Times New Roman" w:hAnsi="Century Gothic" w:cs="Arial"/>
          <w:b/>
          <w:bCs/>
          <w:sz w:val="20"/>
          <w:szCs w:val="20"/>
        </w:rPr>
        <w:t>pH:</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Log Pow (n-Octanol/Water Partition Coefficient):</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Solubility in Water:</w:t>
      </w:r>
      <w:r>
        <w:rPr>
          <w:rFonts w:ascii="Century Gothic" w:eastAsia="Times New Roman" w:hAnsi="Century Gothic" w:cs="Arial"/>
          <w:sz w:val="20"/>
          <w:szCs w:val="20"/>
        </w:rPr>
        <w:t xml:space="preserve">   </w:t>
      </w:r>
      <w:r w:rsidR="00734552">
        <w:rPr>
          <w:rFonts w:ascii="Century Gothic" w:eastAsia="Times New Roman" w:hAnsi="Century Gothic" w:cs="Arial"/>
          <w:sz w:val="20"/>
          <w:szCs w:val="20"/>
        </w:rPr>
        <w:t>Yes</w:t>
      </w:r>
      <w:r>
        <w:rPr>
          <w:rFonts w:ascii="Century Gothic" w:eastAsia="Times New Roman" w:hAnsi="Century Gothic" w:cs="Arial"/>
          <w:sz w:val="20"/>
          <w:szCs w:val="20"/>
        </w:rPr>
        <w:t xml:space="preserve">  </w:t>
      </w:r>
      <w:r>
        <w:rPr>
          <w:rFonts w:ascii="Century Gothic" w:eastAsia="Times New Roman" w:hAnsi="Century Gothic" w:cs="Arial"/>
          <w:sz w:val="20"/>
          <w:szCs w:val="20"/>
        </w:rPr>
        <w:br/>
      </w:r>
      <w:r>
        <w:rPr>
          <w:rFonts w:ascii="Century Gothic" w:eastAsia="Times New Roman" w:hAnsi="Century Gothic" w:cs="Arial"/>
          <w:b/>
          <w:bCs/>
          <w:sz w:val="20"/>
          <w:szCs w:val="20"/>
        </w:rPr>
        <w:t>Viscosity:</w:t>
      </w:r>
      <w:r>
        <w:rPr>
          <w:rFonts w:ascii="Century Gothic" w:eastAsia="Times New Roman" w:hAnsi="Century Gothic" w:cs="Arial"/>
          <w:sz w:val="20"/>
          <w:szCs w:val="20"/>
        </w:rPr>
        <w:t xml:space="preserve"> </w:t>
      </w:r>
      <w:r w:rsidR="00A54C54">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Oxidizing Properties:</w:t>
      </w:r>
      <w:r>
        <w:rPr>
          <w:rFonts w:ascii="Century Gothic" w:eastAsia="Times New Roman" w:hAnsi="Century Gothic" w:cs="Arial"/>
          <w:sz w:val="20"/>
          <w:szCs w:val="20"/>
        </w:rPr>
        <w:t xml:space="preserve"> See Hazards Identification Section.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OTHER INFORMATION</w:t>
      </w:r>
      <w:r>
        <w:rPr>
          <w:rFonts w:ascii="Century Gothic" w:eastAsia="Times New Roman" w:hAnsi="Century Gothic" w:cs="Arial"/>
          <w:sz w:val="20"/>
          <w:szCs w:val="20"/>
        </w:rPr>
        <w:br/>
      </w:r>
      <w:r>
        <w:rPr>
          <w:rFonts w:ascii="Century Gothic" w:eastAsia="Times New Roman" w:hAnsi="Century Gothic" w:cs="Arial"/>
          <w:b/>
          <w:bCs/>
          <w:sz w:val="20"/>
          <w:szCs w:val="20"/>
        </w:rPr>
        <w:t>Freezing Point:</w:t>
      </w:r>
      <w:r>
        <w:rPr>
          <w:rFonts w:ascii="Century Gothic" w:eastAsia="Times New Roman" w:hAnsi="Century Gothic" w:cs="Arial"/>
          <w:sz w:val="20"/>
          <w:szCs w:val="20"/>
        </w:rPr>
        <w:t xml:space="preserve"> </w:t>
      </w:r>
      <w:r w:rsidR="006E2C35">
        <w:rPr>
          <w:rFonts w:ascii="Century Gothic" w:eastAsia="Times New Roman" w:hAnsi="Century Gothic" w:cs="Arial"/>
          <w:sz w:val="20"/>
          <w:szCs w:val="20"/>
        </w:rPr>
        <w:t>0°F</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Melting Point: </w:t>
      </w:r>
      <w:r>
        <w:rPr>
          <w:rFonts w:ascii="Century Gothic" w:eastAsia="Times New Roman" w:hAnsi="Century Gothic" w:cs="Arial"/>
          <w:sz w:val="20"/>
          <w:szCs w:val="20"/>
        </w:rPr>
        <w:t>N/A</w:t>
      </w:r>
      <w:r>
        <w:rPr>
          <w:rFonts w:ascii="Century Gothic" w:eastAsia="Times New Roman" w:hAnsi="Century Gothic" w:cs="Arial"/>
          <w:sz w:val="20"/>
          <w:szCs w:val="20"/>
        </w:rPr>
        <w:br/>
      </w:r>
      <w:r>
        <w:rPr>
          <w:rFonts w:ascii="Century Gothic" w:eastAsia="Times New Roman" w:hAnsi="Century Gothic" w:cs="Arial"/>
          <w:b/>
          <w:bCs/>
          <w:sz w:val="20"/>
          <w:szCs w:val="20"/>
        </w:rPr>
        <w:t>Pour Point:</w:t>
      </w:r>
      <w:r>
        <w:rPr>
          <w:rFonts w:ascii="Century Gothic" w:eastAsia="Times New Roman" w:hAnsi="Century Gothic" w:cs="Arial"/>
          <w:sz w:val="20"/>
          <w:szCs w:val="20"/>
        </w:rPr>
        <w:t xml:space="preserve"> </w:t>
      </w:r>
      <w:r w:rsidR="006E2C35">
        <w:rPr>
          <w:rFonts w:ascii="Century Gothic" w:eastAsia="Times New Roman" w:hAnsi="Century Gothic" w:cs="Arial"/>
          <w:sz w:val="20"/>
          <w:szCs w:val="20"/>
        </w:rPr>
        <w:t>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3C5FD95"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0C369FD"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10                                                STABILITY AND REACTIVITY </w:t>
            </w:r>
          </w:p>
        </w:tc>
      </w:tr>
    </w:tbl>
    <w:p w14:paraId="2D9DFB8C" w14:textId="77777777" w:rsidR="00C92183" w:rsidRPr="00B81F5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b/>
          <w:sz w:val="20"/>
          <w:szCs w:val="20"/>
        </w:rPr>
        <w:t>Reactivity:</w:t>
      </w:r>
      <w:r w:rsidRPr="00B81F54">
        <w:rPr>
          <w:rFonts w:ascii="Century Gothic" w:eastAsia="Times New Roman" w:hAnsi="Century Gothic" w:cs="Arial"/>
          <w:sz w:val="20"/>
          <w:szCs w:val="20"/>
        </w:rPr>
        <w:t xml:space="preserve"> No data available.</w:t>
      </w:r>
    </w:p>
    <w:p w14:paraId="20C7E91A"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Chemical Stability:</w:t>
      </w:r>
      <w:r w:rsidRPr="00B81F54">
        <w:rPr>
          <w:rFonts w:ascii="Century Gothic" w:eastAsia="Times New Roman" w:hAnsi="Century Gothic" w:cs="Arial"/>
          <w:sz w:val="20"/>
          <w:szCs w:val="20"/>
        </w:rPr>
        <w:t xml:space="preserve"> Material is stable under normal conditions.</w:t>
      </w:r>
    </w:p>
    <w:p w14:paraId="3046499C"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Possibility of Hazardous</w:t>
      </w:r>
    </w:p>
    <w:p w14:paraId="1382C43C"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Reactions: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Will not occur.</w:t>
      </w:r>
    </w:p>
    <w:p w14:paraId="1AAEEE1E"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lastRenderedPageBreak/>
        <w:t>Conditions to Avoid:</w:t>
      </w:r>
      <w:r w:rsidRPr="00B81F54">
        <w:rPr>
          <w:rFonts w:ascii="Century Gothic" w:eastAsia="Times New Roman" w:hAnsi="Century Gothic" w:cs="Arial"/>
          <w:sz w:val="20"/>
          <w:szCs w:val="20"/>
        </w:rPr>
        <w:t xml:space="preserve"> Not determined.</w:t>
      </w:r>
    </w:p>
    <w:p w14:paraId="43F1B0D7"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Incompatible Materials:</w:t>
      </w:r>
      <w:r w:rsidRPr="00B81F54">
        <w:rPr>
          <w:rFonts w:ascii="Century Gothic" w:eastAsia="Times New Roman" w:hAnsi="Century Gothic" w:cs="Arial"/>
          <w:sz w:val="20"/>
          <w:szCs w:val="20"/>
        </w:rPr>
        <w:t xml:space="preserve"> Strong oxidizing agents. Aluminum. Mild steel. Alkalies. Bases.</w:t>
      </w:r>
    </w:p>
    <w:p w14:paraId="2A1A0DEF"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Hazardous Decomposition</w:t>
      </w:r>
    </w:p>
    <w:p w14:paraId="44955DE5"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Thermal decomposition or combus</w:t>
      </w:r>
      <w:r>
        <w:rPr>
          <w:rFonts w:ascii="Century Gothic" w:eastAsia="Times New Roman" w:hAnsi="Century Gothic" w:cs="Arial"/>
          <w:sz w:val="20"/>
          <w:szCs w:val="20"/>
        </w:rPr>
        <w:t xml:space="preserve">tion may generate smoke, carbon </w:t>
      </w:r>
      <w:r w:rsidRPr="00B81F54">
        <w:rPr>
          <w:rFonts w:ascii="Century Gothic" w:eastAsia="Times New Roman" w:hAnsi="Century Gothic" w:cs="Arial"/>
          <w:sz w:val="20"/>
          <w:szCs w:val="20"/>
        </w:rPr>
        <w:t>monoxide, carbon dioxide, and other products of incomplete combustion.</w:t>
      </w:r>
    </w:p>
    <w:p w14:paraId="313FEC64" w14:textId="77777777" w:rsidR="00C92183" w:rsidRDefault="00C92183" w:rsidP="00C92183">
      <w:pPr>
        <w:spacing w:after="240" w:line="240" w:lineRule="auto"/>
        <w:rPr>
          <w:rFonts w:ascii="Century Gothic" w:eastAsia="Times New Roman" w:hAnsi="Century Gothic" w:cs="Arial"/>
          <w:sz w:val="20"/>
          <w:szCs w:val="20"/>
        </w:rPr>
      </w:pPr>
      <w:r w:rsidRPr="00B81F54">
        <w:rPr>
          <w:rFonts w:ascii="Century Gothic" w:eastAsia="Times New Roman" w:hAnsi="Century Gothic" w:cs="Arial"/>
          <w:sz w:val="20"/>
          <w:szCs w:val="20"/>
        </w:rPr>
        <w:t>Thermal decompositon may gener</w:t>
      </w:r>
      <w:r>
        <w:rPr>
          <w:rFonts w:ascii="Century Gothic" w:eastAsia="Times New Roman" w:hAnsi="Century Gothic" w:cs="Arial"/>
          <w:sz w:val="20"/>
          <w:szCs w:val="20"/>
        </w:rPr>
        <w:t xml:space="preserve">ate phosphorus oxides and other </w:t>
      </w:r>
      <w:r w:rsidRPr="00B81F54">
        <w:rPr>
          <w:rFonts w:ascii="Century Gothic" w:eastAsia="Times New Roman" w:hAnsi="Century Gothic" w:cs="Arial"/>
          <w:sz w:val="20"/>
          <w:szCs w:val="20"/>
        </w:rPr>
        <w:t>phosphorus containing compounds.</w:t>
      </w:r>
      <w:r w:rsidRPr="00B81F5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21EDE50"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C5C75C4"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11                                                   TOXICOLOGICAL INFORMATION</w:t>
            </w:r>
          </w:p>
        </w:tc>
      </w:tr>
    </w:tbl>
    <w:p w14:paraId="75434B25"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Information on likely routes of exposure</w:t>
      </w:r>
    </w:p>
    <w:p w14:paraId="31A6D17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Inhalation: No data available.</w:t>
      </w:r>
    </w:p>
    <w:p w14:paraId="67BE98E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Ingestion: No data available.</w:t>
      </w:r>
    </w:p>
    <w:p w14:paraId="15FD75A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Skin Contact: No data available.</w:t>
      </w:r>
    </w:p>
    <w:p w14:paraId="3797019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Eye contact: Causes serious eye damage.</w:t>
      </w:r>
    </w:p>
    <w:p w14:paraId="37252F7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Information on toxicological effects</w:t>
      </w:r>
    </w:p>
    <w:p w14:paraId="2899A1E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toxicity</w:t>
      </w:r>
    </w:p>
    <w:p w14:paraId="28E4AF9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Oral</w:t>
      </w:r>
    </w:p>
    <w:p w14:paraId="68315F8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(Rat): &gt; 5,000 mg/kg (Read across) Not classified</w:t>
      </w:r>
    </w:p>
    <w:p w14:paraId="492A2A1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Swallowing material may cause irritation of the gastrointestinal</w:t>
      </w:r>
    </w:p>
    <w:p w14:paraId="719E683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lining, nausea, vomiting, diarrhea, and abdominal pain.</w:t>
      </w:r>
    </w:p>
    <w:p w14:paraId="6511AD7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Dermal</w:t>
      </w:r>
    </w:p>
    <w:p w14:paraId="7239C9F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(Rabbit): &gt; 2,000 mg/kg (Read across) Not classified</w:t>
      </w:r>
    </w:p>
    <w:p w14:paraId="2E05C0A1"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Inhalation</w:t>
      </w:r>
    </w:p>
    <w:p w14:paraId="2DBBA772"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13139AC8"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Corrosion/Irritation:</w:t>
      </w:r>
    </w:p>
    <w:p w14:paraId="7225A06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Classification: Not irritating (Read a</w:t>
      </w:r>
      <w:r>
        <w:rPr>
          <w:rFonts w:ascii="Century Gothic" w:eastAsia="Times New Roman" w:hAnsi="Century Gothic" w:cs="Arial"/>
          <w:sz w:val="20"/>
          <w:szCs w:val="20"/>
        </w:rPr>
        <w:t xml:space="preserve">cross); Rabbit. Not expected to </w:t>
      </w:r>
      <w:r w:rsidRPr="00434EB4">
        <w:rPr>
          <w:rFonts w:ascii="Century Gothic" w:eastAsia="Times New Roman" w:hAnsi="Century Gothic" w:cs="Arial"/>
          <w:sz w:val="20"/>
          <w:szCs w:val="20"/>
        </w:rPr>
        <w:t>be a primary skin irritant.</w:t>
      </w:r>
    </w:p>
    <w:p w14:paraId="28868C2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Not classified as a primary skin irritant.</w:t>
      </w:r>
    </w:p>
    <w:p w14:paraId="4CBB384A"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lastRenderedPageBreak/>
        <w:t>Serious Eye Damage/Eye Irritation:</w:t>
      </w:r>
    </w:p>
    <w:p w14:paraId="456B485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 Classification:</w:t>
      </w:r>
      <w:r w:rsidRPr="00434EB4">
        <w:rPr>
          <w:rFonts w:ascii="Century Gothic" w:eastAsia="Times New Roman" w:hAnsi="Century Gothic" w:cs="Arial"/>
          <w:sz w:val="20"/>
          <w:szCs w:val="20"/>
        </w:rPr>
        <w:t xml:space="preserve"> Risk of serious</w:t>
      </w:r>
      <w:r>
        <w:rPr>
          <w:rFonts w:ascii="Century Gothic" w:eastAsia="Times New Roman" w:hAnsi="Century Gothic" w:cs="Arial"/>
          <w:sz w:val="20"/>
          <w:szCs w:val="20"/>
        </w:rPr>
        <w:t xml:space="preserve"> damage to eyes. (Read across); </w:t>
      </w:r>
      <w:r w:rsidRPr="00434EB4">
        <w:rPr>
          <w:rFonts w:ascii="Century Gothic" w:eastAsia="Times New Roman" w:hAnsi="Century Gothic" w:cs="Arial"/>
          <w:sz w:val="20"/>
          <w:szCs w:val="20"/>
        </w:rPr>
        <w:t>Rabbit.</w:t>
      </w:r>
    </w:p>
    <w:p w14:paraId="3FC3538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Causes serious eye damage.</w:t>
      </w:r>
    </w:p>
    <w:p w14:paraId="436829AD"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Respiratory sensitization:</w:t>
      </w:r>
    </w:p>
    <w:p w14:paraId="0E139E34"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21A8E7E4"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sensitization:</w:t>
      </w:r>
    </w:p>
    <w:p w14:paraId="67D4D5BD"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w:t>
      </w:r>
      <w:r w:rsidRPr="00434EB4">
        <w:rPr>
          <w:rFonts w:ascii="Century Gothic" w:eastAsia="Times New Roman" w:hAnsi="Century Gothic" w:cs="Arial"/>
          <w:b/>
          <w:sz w:val="20"/>
          <w:szCs w:val="20"/>
        </w:rPr>
        <w:t>Classification:</w:t>
      </w:r>
      <w:r w:rsidRPr="00434EB4">
        <w:rPr>
          <w:rFonts w:ascii="Century Gothic" w:eastAsia="Times New Roman" w:hAnsi="Century Gothic" w:cs="Arial"/>
          <w:sz w:val="20"/>
          <w:szCs w:val="20"/>
        </w:rPr>
        <w:t xml:space="preserve"> Not a skin sensi</w:t>
      </w:r>
      <w:r>
        <w:rPr>
          <w:rFonts w:ascii="Century Gothic" w:eastAsia="Times New Roman" w:hAnsi="Century Gothic" w:cs="Arial"/>
          <w:sz w:val="20"/>
          <w:szCs w:val="20"/>
        </w:rPr>
        <w:t xml:space="preserve">tizer. (Read across) Not a skin </w:t>
      </w:r>
      <w:r w:rsidRPr="00434EB4">
        <w:rPr>
          <w:rFonts w:ascii="Century Gothic" w:eastAsia="Times New Roman" w:hAnsi="Century Gothic" w:cs="Arial"/>
          <w:sz w:val="20"/>
          <w:szCs w:val="20"/>
        </w:rPr>
        <w:t>sensitizer.</w:t>
      </w:r>
    </w:p>
    <w:p w14:paraId="6B18B18A"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Specific Target Organ Toxicity - Single Exposure:</w:t>
      </w:r>
    </w:p>
    <w:p w14:paraId="2D5FDAF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51601BD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Polyether phosphate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6F199080"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Aspiration Hazard:</w:t>
      </w:r>
    </w:p>
    <w:p w14:paraId="42C9669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370FAC8"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Chronic Effects</w:t>
      </w:r>
    </w:p>
    <w:p w14:paraId="60519B4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Carcinogenicity:</w:t>
      </w:r>
    </w:p>
    <w:p w14:paraId="35BEDDB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64C9709"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IARC Monographs on the Evaluation of Carcinogenic Risks to Humans:</w:t>
      </w:r>
    </w:p>
    <w:p w14:paraId="734B212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w:t>
      </w:r>
      <w:r>
        <w:rPr>
          <w:rFonts w:ascii="Century Gothic" w:eastAsia="Times New Roman" w:hAnsi="Century Gothic" w:cs="Arial"/>
          <w:sz w:val="20"/>
          <w:szCs w:val="20"/>
        </w:rPr>
        <w:t xml:space="preserve">cinogenic components identified </w:t>
      </w:r>
      <w:r w:rsidRPr="00434EB4">
        <w:rPr>
          <w:rFonts w:ascii="Century Gothic" w:eastAsia="Times New Roman" w:hAnsi="Century Gothic" w:cs="Arial"/>
          <w:sz w:val="20"/>
          <w:szCs w:val="20"/>
        </w:rPr>
        <w:t>US. National Toxicology Program (NTP) Report on Carcinogens:</w:t>
      </w:r>
    </w:p>
    <w:p w14:paraId="2443391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41F13D0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US. OSHA Specifically Regulated Substances (29 CFR 1910.1001-1050):</w:t>
      </w:r>
    </w:p>
    <w:p w14:paraId="5EBF3F6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69F08160"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Germ Cell Mutagenicity:</w:t>
      </w:r>
    </w:p>
    <w:p w14:paraId="4AA01EB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BC7EA7C"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Reproductive toxicity:</w:t>
      </w:r>
    </w:p>
    <w:p w14:paraId="3F7B8F3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0232B1C4"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Specific Target Orga</w:t>
      </w:r>
      <w:r>
        <w:rPr>
          <w:rFonts w:ascii="Century Gothic" w:eastAsia="Times New Roman" w:hAnsi="Century Gothic" w:cs="Arial"/>
          <w:sz w:val="20"/>
          <w:szCs w:val="20"/>
        </w:rPr>
        <w:t>n Toxicity - Repeated Exposure:  No data available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A9BAA27"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6DDA4BD2"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lastRenderedPageBreak/>
              <w:t>SECTION 12                                                ECOLOGICAL INFORMATION </w:t>
            </w:r>
          </w:p>
        </w:tc>
      </w:tr>
    </w:tbl>
    <w:p w14:paraId="70DB9C77"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Ecotoxicity</w:t>
      </w:r>
    </w:p>
    <w:p w14:paraId="340E7C9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Fish</w:t>
      </w:r>
    </w:p>
    <w:p w14:paraId="2ACD798E"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LC 50 (Bluegill Sunfish, 4 d): 160 mg/l</w:t>
      </w:r>
    </w:p>
    <w:p w14:paraId="27BCFCE0" w14:textId="77777777" w:rsidR="00C92183" w:rsidRPr="00434EB4" w:rsidRDefault="00C92183" w:rsidP="00C92183">
      <w:pPr>
        <w:spacing w:after="0" w:line="240" w:lineRule="auto"/>
        <w:rPr>
          <w:rFonts w:ascii="Century Gothic" w:eastAsia="Times New Roman" w:hAnsi="Century Gothic" w:cs="Arial"/>
          <w:sz w:val="20"/>
          <w:szCs w:val="20"/>
        </w:rPr>
      </w:pPr>
    </w:p>
    <w:p w14:paraId="183DF15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Aquatic Invertebrates</w:t>
      </w:r>
    </w:p>
    <w:p w14:paraId="1B6194BE" w14:textId="77777777" w:rsidR="00C92183" w:rsidRPr="00434EB4" w:rsidRDefault="00C92183" w:rsidP="00C92183">
      <w:pPr>
        <w:spacing w:after="0" w:line="240" w:lineRule="auto"/>
        <w:rPr>
          <w:rFonts w:ascii="Century Gothic" w:eastAsia="Times New Roman" w:hAnsi="Century Gothic" w:cs="Arial"/>
          <w:sz w:val="20"/>
          <w:szCs w:val="20"/>
        </w:rPr>
      </w:pPr>
    </w:p>
    <w:p w14:paraId="0993FE9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(Water flea (Daphnia magna), 2 d): 216 mg/l</w:t>
      </w:r>
    </w:p>
    <w:p w14:paraId="0D9A97DD" w14:textId="77777777" w:rsidR="00C92183" w:rsidRPr="00434EB4" w:rsidRDefault="00C92183" w:rsidP="00C92183">
      <w:pPr>
        <w:spacing w:after="0" w:line="240" w:lineRule="auto"/>
        <w:rPr>
          <w:rFonts w:ascii="Century Gothic" w:eastAsia="Times New Roman" w:hAnsi="Century Gothic" w:cs="Arial"/>
          <w:sz w:val="20"/>
          <w:szCs w:val="20"/>
        </w:rPr>
      </w:pPr>
    </w:p>
    <w:p w14:paraId="7EC0A4D1"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Aquatic Plants</w:t>
      </w:r>
    </w:p>
    <w:p w14:paraId="3F7FD438" w14:textId="77777777" w:rsidR="00C92183" w:rsidRPr="00434EB4" w:rsidRDefault="00C92183" w:rsidP="00C92183">
      <w:pPr>
        <w:spacing w:after="0" w:line="240" w:lineRule="auto"/>
        <w:rPr>
          <w:rFonts w:ascii="Century Gothic" w:eastAsia="Times New Roman" w:hAnsi="Century Gothic" w:cs="Arial"/>
          <w:sz w:val="20"/>
          <w:szCs w:val="20"/>
        </w:rPr>
      </w:pPr>
    </w:p>
    <w:p w14:paraId="25FD509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(Green algae (Selenastrum capricornutum), 4 d): 97 mg/l</w:t>
      </w:r>
    </w:p>
    <w:p w14:paraId="0208BDEB" w14:textId="77777777" w:rsidR="00C92183" w:rsidRPr="00434EB4" w:rsidRDefault="00C92183" w:rsidP="00C92183">
      <w:pPr>
        <w:spacing w:after="0" w:line="240" w:lineRule="auto"/>
        <w:rPr>
          <w:rFonts w:ascii="Century Gothic" w:eastAsia="Times New Roman" w:hAnsi="Century Gothic" w:cs="Arial"/>
          <w:sz w:val="20"/>
          <w:szCs w:val="20"/>
        </w:rPr>
      </w:pPr>
    </w:p>
    <w:p w14:paraId="246AA1C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soil dwelling organisms</w:t>
      </w:r>
    </w:p>
    <w:p w14:paraId="29CD6574" w14:textId="77777777" w:rsidR="00C92183" w:rsidRPr="00434EB4" w:rsidRDefault="00C92183" w:rsidP="00C92183">
      <w:pPr>
        <w:spacing w:after="0" w:line="240" w:lineRule="auto"/>
        <w:rPr>
          <w:rFonts w:ascii="Century Gothic" w:eastAsia="Times New Roman" w:hAnsi="Century Gothic" w:cs="Arial"/>
          <w:sz w:val="20"/>
          <w:szCs w:val="20"/>
        </w:rPr>
      </w:pPr>
    </w:p>
    <w:p w14:paraId="47B9DDE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08364DA" w14:textId="77777777" w:rsidR="00C92183" w:rsidRPr="00434EB4" w:rsidRDefault="00C92183" w:rsidP="00C92183">
      <w:pPr>
        <w:spacing w:after="0" w:line="240" w:lineRule="auto"/>
        <w:rPr>
          <w:rFonts w:ascii="Century Gothic" w:eastAsia="Times New Roman" w:hAnsi="Century Gothic" w:cs="Arial"/>
          <w:sz w:val="20"/>
          <w:szCs w:val="20"/>
        </w:rPr>
      </w:pPr>
    </w:p>
    <w:p w14:paraId="0BC0C8EE"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Sediment Toxicity</w:t>
      </w:r>
    </w:p>
    <w:p w14:paraId="7DE8FBBE" w14:textId="77777777" w:rsidR="00C92183" w:rsidRPr="00434EB4" w:rsidRDefault="00C92183" w:rsidP="00C92183">
      <w:pPr>
        <w:spacing w:after="0" w:line="240" w:lineRule="auto"/>
        <w:rPr>
          <w:rFonts w:ascii="Century Gothic" w:eastAsia="Times New Roman" w:hAnsi="Century Gothic" w:cs="Arial"/>
          <w:sz w:val="20"/>
          <w:szCs w:val="20"/>
        </w:rPr>
      </w:pPr>
    </w:p>
    <w:p w14:paraId="6E0EAB7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3D42555" w14:textId="77777777" w:rsidR="00C92183" w:rsidRPr="00434EB4" w:rsidRDefault="00C92183" w:rsidP="00C92183">
      <w:pPr>
        <w:spacing w:after="0" w:line="240" w:lineRule="auto"/>
        <w:rPr>
          <w:rFonts w:ascii="Century Gothic" w:eastAsia="Times New Roman" w:hAnsi="Century Gothic" w:cs="Arial"/>
          <w:sz w:val="20"/>
          <w:szCs w:val="20"/>
        </w:rPr>
      </w:pPr>
    </w:p>
    <w:p w14:paraId="3CA8FD8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Terrestrial Plants</w:t>
      </w:r>
    </w:p>
    <w:p w14:paraId="3A13011B" w14:textId="77777777" w:rsidR="00C92183" w:rsidRPr="00434EB4" w:rsidRDefault="00C92183" w:rsidP="00C92183">
      <w:pPr>
        <w:spacing w:after="0" w:line="240" w:lineRule="auto"/>
        <w:rPr>
          <w:rFonts w:ascii="Century Gothic" w:eastAsia="Times New Roman" w:hAnsi="Century Gothic" w:cs="Arial"/>
          <w:sz w:val="20"/>
          <w:szCs w:val="20"/>
        </w:rPr>
      </w:pPr>
    </w:p>
    <w:p w14:paraId="061E333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F9F869E" w14:textId="77777777" w:rsidR="00C92183" w:rsidRPr="00434EB4" w:rsidRDefault="00C92183" w:rsidP="00C92183">
      <w:pPr>
        <w:spacing w:after="0" w:line="240" w:lineRule="auto"/>
        <w:rPr>
          <w:rFonts w:ascii="Century Gothic" w:eastAsia="Times New Roman" w:hAnsi="Century Gothic" w:cs="Arial"/>
          <w:sz w:val="20"/>
          <w:szCs w:val="20"/>
        </w:rPr>
      </w:pPr>
    </w:p>
    <w:p w14:paraId="35FC39B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Above-Ground Organisms</w:t>
      </w:r>
    </w:p>
    <w:p w14:paraId="283FAF13" w14:textId="77777777" w:rsidR="00C92183" w:rsidRPr="00434EB4" w:rsidRDefault="00C92183" w:rsidP="00C92183">
      <w:pPr>
        <w:spacing w:after="0" w:line="240" w:lineRule="auto"/>
        <w:rPr>
          <w:rFonts w:ascii="Century Gothic" w:eastAsia="Times New Roman" w:hAnsi="Century Gothic" w:cs="Arial"/>
          <w:sz w:val="20"/>
          <w:szCs w:val="20"/>
        </w:rPr>
      </w:pPr>
    </w:p>
    <w:p w14:paraId="2E2C3436"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0DBB9F4" w14:textId="77777777" w:rsidR="00C92183" w:rsidRDefault="00C92183" w:rsidP="00C92183">
      <w:pPr>
        <w:spacing w:after="0" w:line="240" w:lineRule="auto"/>
        <w:rPr>
          <w:rFonts w:ascii="Century Gothic" w:eastAsia="Times New Roman" w:hAnsi="Century Gothic" w:cs="Arial"/>
          <w:sz w:val="20"/>
          <w:szCs w:val="20"/>
        </w:rPr>
      </w:pPr>
    </w:p>
    <w:p w14:paraId="3879CAA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microorganisms</w:t>
      </w:r>
    </w:p>
    <w:p w14:paraId="335FB8F1" w14:textId="77777777" w:rsidR="00C92183" w:rsidRPr="00434EB4" w:rsidRDefault="00C92183" w:rsidP="00C92183">
      <w:pPr>
        <w:spacing w:after="0" w:line="240" w:lineRule="auto"/>
        <w:rPr>
          <w:rFonts w:ascii="Century Gothic" w:eastAsia="Times New Roman" w:hAnsi="Century Gothic" w:cs="Arial"/>
          <w:sz w:val="20"/>
          <w:szCs w:val="20"/>
        </w:rPr>
      </w:pPr>
    </w:p>
    <w:p w14:paraId="7A46B456"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05814FB1" w14:textId="77777777" w:rsidR="00C92183" w:rsidRPr="00434EB4" w:rsidRDefault="00C92183" w:rsidP="00C92183">
      <w:pPr>
        <w:spacing w:after="0" w:line="240" w:lineRule="auto"/>
        <w:rPr>
          <w:rFonts w:ascii="Century Gothic" w:eastAsia="Times New Roman" w:hAnsi="Century Gothic" w:cs="Arial"/>
          <w:sz w:val="20"/>
          <w:szCs w:val="20"/>
        </w:rPr>
      </w:pPr>
    </w:p>
    <w:p w14:paraId="4CDAE3E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Persistence and Degradability</w:t>
      </w:r>
    </w:p>
    <w:p w14:paraId="04672F3B" w14:textId="77777777" w:rsidR="00C92183" w:rsidRPr="00434EB4" w:rsidRDefault="00C92183" w:rsidP="00C92183">
      <w:pPr>
        <w:spacing w:after="0" w:line="240" w:lineRule="auto"/>
        <w:rPr>
          <w:rFonts w:ascii="Century Gothic" w:eastAsia="Times New Roman" w:hAnsi="Century Gothic" w:cs="Arial"/>
          <w:sz w:val="20"/>
          <w:szCs w:val="20"/>
        </w:rPr>
      </w:pPr>
    </w:p>
    <w:p w14:paraId="058B910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Biodegradation</w:t>
      </w:r>
    </w:p>
    <w:p w14:paraId="56475B8F" w14:textId="77777777" w:rsidR="00C92183" w:rsidRPr="00434EB4" w:rsidRDefault="00C92183" w:rsidP="00C92183">
      <w:pPr>
        <w:spacing w:after="0" w:line="240" w:lineRule="auto"/>
        <w:rPr>
          <w:rFonts w:ascii="Century Gothic" w:eastAsia="Times New Roman" w:hAnsi="Century Gothic" w:cs="Arial"/>
          <w:sz w:val="20"/>
          <w:szCs w:val="20"/>
        </w:rPr>
      </w:pPr>
    </w:p>
    <w:p w14:paraId="0A9068A0"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Miscellaneous, 22.5 %, 28 d</w:t>
      </w:r>
    </w:p>
    <w:p w14:paraId="610A7646" w14:textId="77777777" w:rsidR="00C92183" w:rsidRPr="00434EB4" w:rsidRDefault="00C92183" w:rsidP="00C92183">
      <w:pPr>
        <w:spacing w:after="0" w:line="240" w:lineRule="auto"/>
        <w:rPr>
          <w:rFonts w:ascii="Century Gothic" w:eastAsia="Times New Roman" w:hAnsi="Century Gothic" w:cs="Arial"/>
          <w:sz w:val="20"/>
          <w:szCs w:val="20"/>
        </w:rPr>
      </w:pPr>
    </w:p>
    <w:p w14:paraId="69684573"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Bioaccumulative Potential</w:t>
      </w:r>
    </w:p>
    <w:p w14:paraId="603D4DCD" w14:textId="77777777" w:rsidR="00C92183" w:rsidRPr="00434EB4" w:rsidRDefault="00C92183" w:rsidP="00C92183">
      <w:pPr>
        <w:spacing w:after="0" w:line="240" w:lineRule="auto"/>
        <w:rPr>
          <w:rFonts w:ascii="Century Gothic" w:eastAsia="Times New Roman" w:hAnsi="Century Gothic" w:cs="Arial"/>
          <w:sz w:val="20"/>
          <w:szCs w:val="20"/>
        </w:rPr>
      </w:pPr>
    </w:p>
    <w:p w14:paraId="2ADEA96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Bioconcentration Factor (BCF)</w:t>
      </w:r>
    </w:p>
    <w:p w14:paraId="3B16D9BF" w14:textId="77777777" w:rsidR="00C92183" w:rsidRPr="00434EB4" w:rsidRDefault="00C92183" w:rsidP="00C92183">
      <w:pPr>
        <w:spacing w:after="0" w:line="240" w:lineRule="auto"/>
        <w:rPr>
          <w:rFonts w:ascii="Century Gothic" w:eastAsia="Times New Roman" w:hAnsi="Century Gothic" w:cs="Arial"/>
          <w:sz w:val="20"/>
          <w:szCs w:val="20"/>
        </w:rPr>
      </w:pPr>
    </w:p>
    <w:p w14:paraId="76AC46B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A2265AD" w14:textId="77777777" w:rsidR="00C92183" w:rsidRPr="00434EB4" w:rsidRDefault="00C92183" w:rsidP="00C92183">
      <w:pPr>
        <w:spacing w:after="0" w:line="240" w:lineRule="auto"/>
        <w:rPr>
          <w:rFonts w:ascii="Century Gothic" w:eastAsia="Times New Roman" w:hAnsi="Century Gothic" w:cs="Arial"/>
          <w:sz w:val="20"/>
          <w:szCs w:val="20"/>
        </w:rPr>
      </w:pPr>
    </w:p>
    <w:p w14:paraId="24A36D80"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Partition Coefficient n-octanol / water (log Kow)</w:t>
      </w:r>
    </w:p>
    <w:p w14:paraId="2CAC7E33" w14:textId="77777777" w:rsidR="00C92183" w:rsidRPr="00434EB4" w:rsidRDefault="00C92183" w:rsidP="00C92183">
      <w:pPr>
        <w:spacing w:after="0" w:line="240" w:lineRule="auto"/>
        <w:rPr>
          <w:rFonts w:ascii="Century Gothic" w:eastAsia="Times New Roman" w:hAnsi="Century Gothic" w:cs="Arial"/>
          <w:sz w:val="20"/>
          <w:szCs w:val="20"/>
        </w:rPr>
      </w:pPr>
    </w:p>
    <w:p w14:paraId="707234EE"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8657676" w14:textId="77777777" w:rsidR="00C92183" w:rsidRPr="00434EB4" w:rsidRDefault="00C92183" w:rsidP="00C92183">
      <w:pPr>
        <w:spacing w:after="0" w:line="240" w:lineRule="auto"/>
        <w:rPr>
          <w:rFonts w:ascii="Century Gothic" w:eastAsia="Times New Roman" w:hAnsi="Century Gothic" w:cs="Arial"/>
          <w:sz w:val="20"/>
          <w:szCs w:val="20"/>
        </w:rPr>
      </w:pPr>
    </w:p>
    <w:p w14:paraId="177E6B3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Mobility:</w:t>
      </w:r>
    </w:p>
    <w:p w14:paraId="67E377AA" w14:textId="77777777" w:rsidR="00C92183" w:rsidRPr="00434EB4" w:rsidRDefault="00C92183" w:rsidP="00C92183">
      <w:pPr>
        <w:spacing w:after="0" w:line="240" w:lineRule="auto"/>
        <w:rPr>
          <w:rFonts w:ascii="Century Gothic" w:eastAsia="Times New Roman" w:hAnsi="Century Gothic" w:cs="Arial"/>
          <w:sz w:val="20"/>
          <w:szCs w:val="20"/>
        </w:rPr>
      </w:pPr>
    </w:p>
    <w:p w14:paraId="1C72A36E"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4F4714C" w14:textId="77777777" w:rsidR="00C92183" w:rsidRPr="00434EB4" w:rsidRDefault="00C92183" w:rsidP="00C92183">
      <w:pPr>
        <w:spacing w:after="0" w:line="240" w:lineRule="auto"/>
        <w:rPr>
          <w:rFonts w:ascii="Century Gothic" w:eastAsia="Times New Roman" w:hAnsi="Century Gothic" w:cs="Arial"/>
          <w:sz w:val="20"/>
          <w:szCs w:val="20"/>
        </w:rPr>
      </w:pPr>
    </w:p>
    <w:p w14:paraId="60AB759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Adverse Effects: No data available.</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B870910" w14:textId="77777777" w:rsidTr="00236F1C">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CCBA509"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13                                                 DISPOSAL CONSIDERATIONS</w:t>
            </w:r>
          </w:p>
        </w:tc>
      </w:tr>
    </w:tbl>
    <w:p w14:paraId="26736688"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Disposal instructions: Treatment, storage, transportation, and disposal must be in accord</w:t>
      </w:r>
      <w:r>
        <w:rPr>
          <w:rFonts w:ascii="Century Gothic" w:eastAsia="Times New Roman" w:hAnsi="Century Gothic" w:cs="Arial"/>
          <w:sz w:val="20"/>
          <w:szCs w:val="20"/>
        </w:rPr>
        <w:t xml:space="preserve">ance </w:t>
      </w:r>
      <w:r w:rsidRPr="00434EB4">
        <w:rPr>
          <w:rFonts w:ascii="Century Gothic" w:eastAsia="Times New Roman" w:hAnsi="Century Gothic" w:cs="Arial"/>
          <w:sz w:val="20"/>
          <w:szCs w:val="20"/>
        </w:rPr>
        <w:t>with applicable Federal, State/Provincial, and Local regulations.</w:t>
      </w:r>
    </w:p>
    <w:p w14:paraId="3431405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Dispose of packaging or containers in a</w:t>
      </w:r>
      <w:r>
        <w:rPr>
          <w:rFonts w:ascii="Century Gothic" w:eastAsia="Times New Roman" w:hAnsi="Century Gothic" w:cs="Arial"/>
          <w:sz w:val="20"/>
          <w:szCs w:val="20"/>
        </w:rPr>
        <w:t xml:space="preserve">ccordance with local, regional, </w:t>
      </w:r>
      <w:r w:rsidRPr="00434EB4">
        <w:rPr>
          <w:rFonts w:ascii="Century Gothic" w:eastAsia="Times New Roman" w:hAnsi="Century Gothic" w:cs="Arial"/>
          <w:sz w:val="20"/>
          <w:szCs w:val="20"/>
        </w:rPr>
        <w:t>national and international regulations. E</w:t>
      </w:r>
      <w:r>
        <w:rPr>
          <w:rFonts w:ascii="Century Gothic" w:eastAsia="Times New Roman" w:hAnsi="Century Gothic" w:cs="Arial"/>
          <w:sz w:val="20"/>
          <w:szCs w:val="20"/>
        </w:rPr>
        <w:t xml:space="preserve">mpty container contains product </w:t>
      </w:r>
      <w:r w:rsidRPr="00434EB4">
        <w:rPr>
          <w:rFonts w:ascii="Century Gothic" w:eastAsia="Times New Roman" w:hAnsi="Century Gothic" w:cs="Arial"/>
          <w:sz w:val="20"/>
          <w:szCs w:val="20"/>
        </w:rPr>
        <w:t>residue which may exhibit hazards of product.</w:t>
      </w:r>
    </w:p>
    <w:p w14:paraId="607DB6F2"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Contaminated Packaging: Container packaging may exhibit hazards.</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6D099B4"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1E05959"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14                                                TRANSPORT INFORMATION </w:t>
            </w:r>
          </w:p>
        </w:tc>
      </w:tr>
    </w:tbl>
    <w:p w14:paraId="2BA55739"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DOT</w:t>
      </w:r>
    </w:p>
    <w:p w14:paraId="010FEE7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5B3C0D0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 acid, Polyether</w:t>
      </w:r>
    </w:p>
    <w:p w14:paraId="29CC3EB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1B8F369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602D401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43000C3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73E188B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2E470CE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76C5EE5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2254D72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IMDG</w:t>
      </w:r>
    </w:p>
    <w:p w14:paraId="2BCE7CF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2B9DA18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w:t>
      </w:r>
    </w:p>
    <w:p w14:paraId="594A3A3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acid, Polyether phosphate)</w:t>
      </w:r>
    </w:p>
    <w:p w14:paraId="0FA8341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42E2FD3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191A17C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Label(s): 8</w:t>
      </w:r>
    </w:p>
    <w:p w14:paraId="190F087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EmS No.: F-A, S-B</w:t>
      </w:r>
    </w:p>
    <w:p w14:paraId="70C532B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5836B29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456E92F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5.00L</w:t>
      </w:r>
    </w:p>
    <w:p w14:paraId="3E09D3F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1A15A5B1"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4B822D8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IATA</w:t>
      </w:r>
    </w:p>
    <w:p w14:paraId="5C1A412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76435C1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Proper Shipping Name: Corrosive liquid, acidic, organic, n.o.s.(Phosphoric acid, Polyether</w:t>
      </w:r>
    </w:p>
    <w:p w14:paraId="113020F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7E6E6CE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6D543EA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53F4154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55E1672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433F815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76519A3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1.00L</w:t>
      </w:r>
    </w:p>
    <w:p w14:paraId="3396A90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35DFDC2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Environmental Hazards Not regulated.</w:t>
      </w:r>
    </w:p>
    <w:p w14:paraId="680D466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60533B9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information</w:t>
      </w:r>
    </w:p>
    <w:p w14:paraId="74218C4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Passenger and cargo aircraft: Allowed.</w:t>
      </w:r>
    </w:p>
    <w:p w14:paraId="460EA49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Cargo aircraft only: Allowed.</w:t>
      </w:r>
    </w:p>
    <w:p w14:paraId="3ACDA60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in bulk according to Annex II of MARPOL73/78 and the IBC Code</w:t>
      </w:r>
    </w:p>
    <w:p w14:paraId="7E680F18"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known.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A886EB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9180BC5"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15                                                    REGULATORY INFORMATION</w:t>
            </w:r>
          </w:p>
        </w:tc>
      </w:tr>
    </w:tbl>
    <w:p w14:paraId="4F0D3156"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lastRenderedPageBreak/>
        <w:br/>
      </w:r>
      <w:r w:rsidRPr="00434EB4">
        <w:rPr>
          <w:rFonts w:ascii="Century Gothic" w:eastAsia="Times New Roman" w:hAnsi="Century Gothic" w:cs="Arial"/>
          <w:sz w:val="20"/>
          <w:szCs w:val="20"/>
        </w:rPr>
        <w:t>US Federal Regulations</w:t>
      </w:r>
    </w:p>
    <w:p w14:paraId="482A809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TSCA Section 12(b) Export Notification (40 CFR 707, Subpt. D)</w:t>
      </w:r>
    </w:p>
    <w:p w14:paraId="219309BA"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present or none present in regulated quantities.</w:t>
      </w:r>
    </w:p>
    <w:p w14:paraId="20E8F04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Superfund Amendments and Reauthorization Act of 1986 (SARA)</w:t>
      </w:r>
    </w:p>
    <w:p w14:paraId="23558C4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 categories</w:t>
      </w:r>
    </w:p>
    <w:p w14:paraId="23F2A4FB"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Immediate</w:t>
      </w:r>
    </w:p>
    <w:p w14:paraId="2EB0055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Health</w:t>
      </w:r>
    </w:p>
    <w:p w14:paraId="31C940A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Hazards</w:t>
      </w:r>
    </w:p>
    <w:p w14:paraId="10C332E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302 Extremely Hazardous Substance</w:t>
      </w:r>
    </w:p>
    <w:p w14:paraId="2B84534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304 Emergency Release Notification</w:t>
      </w:r>
    </w:p>
    <w:p w14:paraId="0E7CC88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311/312 Hazardous Chemical</w:t>
      </w:r>
    </w:p>
    <w:p w14:paraId="6426B4AB"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313 (TRI Reporting)</w:t>
      </w:r>
    </w:p>
    <w:p w14:paraId="3BEDF01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may contain chemical(s) regulated under the Superfund Amendments and Reauthorization</w:t>
      </w:r>
    </w:p>
    <w:p w14:paraId="322098B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Act (SARA). For additional information please contact Lubrizol C</w:t>
      </w:r>
      <w:r>
        <w:rPr>
          <w:rFonts w:ascii="Century Gothic" w:eastAsia="Times New Roman" w:hAnsi="Century Gothic" w:cs="Arial"/>
          <w:sz w:val="20"/>
          <w:szCs w:val="20"/>
        </w:rPr>
        <w:t xml:space="preserve">ustomer Assistance: America(s): </w:t>
      </w:r>
      <w:r w:rsidRPr="00434EB4">
        <w:rPr>
          <w:rFonts w:ascii="Century Gothic" w:eastAsia="Times New Roman" w:hAnsi="Century Gothic" w:cs="Arial"/>
          <w:sz w:val="20"/>
          <w:szCs w:val="20"/>
        </w:rPr>
        <w:t>AmerLZAMCustomerAssistance@Lubrizol.com ; Europe: EMEAICustomerAssistance@Lubrizol.com ;</w:t>
      </w:r>
    </w:p>
    <w:p w14:paraId="27908A9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Asia: APCustomerAssistance@Lubrizol.com</w:t>
      </w:r>
    </w:p>
    <w:p w14:paraId="6F209279"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 xml:space="preserve">US State Regulations </w:t>
      </w:r>
      <w:r w:rsidRPr="00434EB4">
        <w:rPr>
          <w:rFonts w:ascii="Century Gothic" w:eastAsia="Times New Roman" w:hAnsi="Century Gothic" w:cs="Arial"/>
          <w:sz w:val="20"/>
          <w:szCs w:val="20"/>
        </w:rPr>
        <w:t>US. California Proposition 65</w:t>
      </w:r>
    </w:p>
    <w:p w14:paraId="4FA015D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ingredient regulated by CA Prop 65 present.</w:t>
      </w:r>
    </w:p>
    <w:p w14:paraId="4B72592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Inventory Status</w:t>
      </w:r>
    </w:p>
    <w:p w14:paraId="7CD41A8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Australia (AICS)</w:t>
      </w:r>
    </w:p>
    <w:p w14:paraId="700A2DD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contains a substance that is not listed on the Australia Inventory of Chemical Substances.</w:t>
      </w:r>
    </w:p>
    <w:p w14:paraId="518E777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Canada (DSL/NDSL)</w:t>
      </w:r>
    </w:p>
    <w:p w14:paraId="618AC828"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Canadian Environmental Protec</w:t>
      </w:r>
      <w:r>
        <w:rPr>
          <w:rFonts w:ascii="Century Gothic" w:eastAsia="Times New Roman" w:hAnsi="Century Gothic" w:cs="Arial"/>
          <w:sz w:val="20"/>
          <w:szCs w:val="20"/>
        </w:rPr>
        <w:t xml:space="preserve">tion Act and are present on the </w:t>
      </w:r>
      <w:r w:rsidRPr="00434EB4">
        <w:rPr>
          <w:rFonts w:ascii="Century Gothic" w:eastAsia="Times New Roman" w:hAnsi="Century Gothic" w:cs="Arial"/>
          <w:sz w:val="20"/>
          <w:szCs w:val="20"/>
        </w:rPr>
        <w:t>Domestic Substances List.</w:t>
      </w:r>
    </w:p>
    <w:p w14:paraId="242D86E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China (IECSC)</w:t>
      </w:r>
    </w:p>
    <w:p w14:paraId="019CA2F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Inventory of Existing Chemical Substances in China.</w:t>
      </w:r>
    </w:p>
    <w:p w14:paraId="712376F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European Union (REACh)</w:t>
      </w:r>
    </w:p>
    <w:p w14:paraId="7897371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 obtain information on the REACH compliance status of this product, please visit Lubrizol.com/REACH, or</w:t>
      </w:r>
    </w:p>
    <w:p w14:paraId="5C2991F9"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e-mail us at REACH_MSDS_INQUIRIES@Lubrizol.com</w:t>
      </w:r>
    </w:p>
    <w:p w14:paraId="41D1D9D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Japan (ENCS)</w:t>
      </w:r>
    </w:p>
    <w:p w14:paraId="2A9F0BE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Chemical Substances Control Law of Japan.</w:t>
      </w:r>
    </w:p>
    <w:p w14:paraId="3297C3D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Korea (ECL)</w:t>
      </w:r>
    </w:p>
    <w:p w14:paraId="034076F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in Korea.</w:t>
      </w:r>
    </w:p>
    <w:p w14:paraId="5B21424A"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New Zealand (NZIoC)</w:t>
      </w:r>
    </w:p>
    <w:p w14:paraId="25F8F93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chemical notification requirements in New Zealand.</w:t>
      </w:r>
    </w:p>
    <w:p w14:paraId="5B7C6AE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Philippines (PICCS)</w:t>
      </w:r>
    </w:p>
    <w:p w14:paraId="4F1EBA52"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Philippines Toxic Substances and Hazardous and Nuclear</w:t>
      </w:r>
    </w:p>
    <w:p w14:paraId="68DECCC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Wastes Control Act of 1990 (R.A. 6969).</w:t>
      </w:r>
    </w:p>
    <w:p w14:paraId="4662EB3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 (SWISS)</w:t>
      </w:r>
    </w:p>
    <w:p w14:paraId="5BE5D57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Environmentally Hazardous Substances Ordinance in</w:t>
      </w:r>
    </w:p>
    <w:p w14:paraId="1B3C5E6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w:t>
      </w:r>
    </w:p>
    <w:p w14:paraId="75FE532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Taiwan (TCSCA)</w:t>
      </w:r>
    </w:p>
    <w:p w14:paraId="38C9192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Taiwan inventory.</w:t>
      </w:r>
    </w:p>
    <w:p w14:paraId="15D684C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United States (TSCA)</w:t>
      </w:r>
    </w:p>
    <w:p w14:paraId="61B05BB9"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All components of this material are on the US TSCA Inventory.</w:t>
      </w:r>
    </w:p>
    <w:p w14:paraId="45BBA01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The information that was used to confirm the compliance status of this produc</w:t>
      </w:r>
      <w:r>
        <w:rPr>
          <w:rFonts w:ascii="Century Gothic" w:eastAsia="Times New Roman" w:hAnsi="Century Gothic" w:cs="Arial"/>
          <w:sz w:val="20"/>
          <w:szCs w:val="20"/>
        </w:rPr>
        <w:t xml:space="preserve">t may deviate from the chemical </w:t>
      </w:r>
      <w:r w:rsidRPr="00434EB4">
        <w:rPr>
          <w:rFonts w:ascii="Century Gothic" w:eastAsia="Times New Roman" w:hAnsi="Century Gothic" w:cs="Arial"/>
          <w:sz w:val="20"/>
          <w:szCs w:val="20"/>
        </w:rPr>
        <w:t>information shown in Section 3</w:t>
      </w:r>
    </w:p>
    <w:p w14:paraId="49F9BB65"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394A091"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C96E324"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16                                                        OTHER INFORMATION</w:t>
            </w:r>
          </w:p>
        </w:tc>
      </w:tr>
    </w:tbl>
    <w:p w14:paraId="47E08EE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p>
    <w:p w14:paraId="0CD6FE8D"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THIS SAFETY DATA SHEET CONTAINS THE FOLLOWING REVISIONS:</w:t>
      </w:r>
      <w:r>
        <w:rPr>
          <w:rFonts w:ascii="Century Gothic" w:eastAsia="Times New Roman" w:hAnsi="Century Gothic" w:cs="Arial"/>
          <w:sz w:val="20"/>
          <w:szCs w:val="20"/>
        </w:rPr>
        <w:br/>
        <w:t>Updates made in accordance with implementations of GHS requirements. </w:t>
      </w:r>
      <w:r>
        <w:rPr>
          <w:rFonts w:ascii="Century Gothic" w:eastAsia="Times New Roman" w:hAnsi="Century Gothic" w:cs="Arial"/>
          <w:sz w:val="20"/>
          <w:szCs w:val="20"/>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EF01767" w14:textId="77777777" w:rsidR="00C92183" w:rsidRDefault="00C92183" w:rsidP="00C92183"/>
    <w:p w14:paraId="4BBE9C64" w14:textId="77777777" w:rsidR="00373869" w:rsidRDefault="00373869"/>
    <w:sectPr w:rsidR="003738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0CEE" w14:textId="77777777" w:rsidR="009C0B67" w:rsidRDefault="0095748A">
      <w:pPr>
        <w:spacing w:after="0" w:line="240" w:lineRule="auto"/>
      </w:pPr>
      <w:r>
        <w:separator/>
      </w:r>
    </w:p>
  </w:endnote>
  <w:endnote w:type="continuationSeparator" w:id="0">
    <w:p w14:paraId="4ED617E5" w14:textId="77777777" w:rsidR="009C0B67" w:rsidRDefault="0095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773A" w14:textId="77777777" w:rsidR="009C0B67" w:rsidRDefault="0095748A">
      <w:pPr>
        <w:spacing w:after="0" w:line="240" w:lineRule="auto"/>
      </w:pPr>
      <w:r>
        <w:separator/>
      </w:r>
    </w:p>
  </w:footnote>
  <w:footnote w:type="continuationSeparator" w:id="0">
    <w:p w14:paraId="61531B99" w14:textId="77777777" w:rsidR="009C0B67" w:rsidRDefault="0095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AFD" w14:textId="77777777" w:rsidR="00A3693F" w:rsidRDefault="00074721">
    <w:pPr>
      <w:pStyle w:val="Header"/>
    </w:pPr>
    <w:r>
      <w:rPr>
        <w:noProof/>
      </w:rPr>
      <w:drawing>
        <wp:inline distT="0" distB="0" distL="0" distR="0" wp14:anchorId="1967443F" wp14:editId="29B1ED7E">
          <wp:extent cx="5981457" cy="66395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159"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83"/>
    <w:rsid w:val="00074721"/>
    <w:rsid w:val="000F2C4C"/>
    <w:rsid w:val="00206A3F"/>
    <w:rsid w:val="00226024"/>
    <w:rsid w:val="00373869"/>
    <w:rsid w:val="004078B2"/>
    <w:rsid w:val="005A5FAC"/>
    <w:rsid w:val="00665AA8"/>
    <w:rsid w:val="006E2C35"/>
    <w:rsid w:val="00734552"/>
    <w:rsid w:val="0095748A"/>
    <w:rsid w:val="009C0B67"/>
    <w:rsid w:val="009E37DA"/>
    <w:rsid w:val="00A54C54"/>
    <w:rsid w:val="00C85A78"/>
    <w:rsid w:val="00C92183"/>
    <w:rsid w:val="00DF0D74"/>
    <w:rsid w:val="00E0588D"/>
    <w:rsid w:val="00E4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BC10"/>
  <w15:docId w15:val="{1C4967EB-7EFA-4086-BFAF-D7F3D8F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183"/>
    <w:pPr>
      <w:spacing w:after="0" w:line="240" w:lineRule="auto"/>
    </w:pPr>
    <w:rPr>
      <w:rFonts w:eastAsiaTheme="minorEastAsia"/>
      <w:sz w:val="24"/>
      <w:szCs w:val="24"/>
    </w:rPr>
  </w:style>
  <w:style w:type="paragraph" w:styleId="Header">
    <w:name w:val="header"/>
    <w:basedOn w:val="Normal"/>
    <w:link w:val="HeaderChar"/>
    <w:uiPriority w:val="99"/>
    <w:unhideWhenUsed/>
    <w:rsid w:val="00C9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83"/>
  </w:style>
  <w:style w:type="table" w:styleId="TableGrid">
    <w:name w:val="Table Grid"/>
    <w:basedOn w:val="TableNormal"/>
    <w:uiPriority w:val="59"/>
    <w:rsid w:val="00C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83"/>
    <w:rPr>
      <w:rFonts w:ascii="Tahoma" w:hAnsi="Tahoma" w:cs="Tahoma"/>
      <w:sz w:val="16"/>
      <w:szCs w:val="16"/>
    </w:rPr>
  </w:style>
  <w:style w:type="character" w:styleId="Hyperlink">
    <w:name w:val="Hyperlink"/>
    <w:basedOn w:val="DefaultParagraphFont"/>
    <w:uiPriority w:val="99"/>
    <w:unhideWhenUsed/>
    <w:rsid w:val="0095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2021-02-04T15:09:00Z</cp:lastPrinted>
  <dcterms:created xsi:type="dcterms:W3CDTF">2019-07-02T12:36:00Z</dcterms:created>
  <dcterms:modified xsi:type="dcterms:W3CDTF">2022-01-07T15:35:00Z</dcterms:modified>
</cp:coreProperties>
</file>