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CD" w:rsidRDefault="005202CD" w:rsidP="005202CD">
      <w:pPr>
        <w:rPr>
          <w:rFonts w:ascii="Century Gothic" w:hAnsi="Century Gothic"/>
          <w:b/>
          <w:color w:val="000000" w:themeColor="text1"/>
        </w:rPr>
      </w:pPr>
    </w:p>
    <w:p w:rsidR="005202CD" w:rsidRDefault="005202CD" w:rsidP="005202CD">
      <w:pPr>
        <w:rPr>
          <w:rFonts w:ascii="Century Gothic" w:hAnsi="Century Gothic"/>
          <w:b/>
          <w:color w:val="000000" w:themeColor="text1"/>
        </w:rPr>
      </w:pPr>
      <w:r w:rsidRPr="00E17436">
        <w:rPr>
          <w:rFonts w:ascii="Century Gothic" w:hAnsi="Century Gothic"/>
          <w:b/>
          <w:color w:val="000000" w:themeColor="text1"/>
        </w:rPr>
        <w:t xml:space="preserve">Beacon Signal Cut </w:t>
      </w:r>
      <w:r>
        <w:rPr>
          <w:rFonts w:ascii="Century Gothic" w:hAnsi="Century Gothic"/>
          <w:b/>
          <w:color w:val="000000" w:themeColor="text1"/>
        </w:rPr>
        <w:t>181</w:t>
      </w:r>
    </w:p>
    <w:p w:rsidR="003E0EE3" w:rsidRPr="00C614B9" w:rsidRDefault="003E0EE3" w:rsidP="005202CD">
      <w:pPr>
        <w:rPr>
          <w:rFonts w:ascii="Century Gothic" w:hAnsi="Century Gothic"/>
          <w:b/>
          <w:color w:val="000000" w:themeColor="text1"/>
        </w:rPr>
      </w:pPr>
    </w:p>
    <w:tbl>
      <w:tblPr>
        <w:tblStyle w:val="TableGrid"/>
        <w:tblW w:w="0" w:type="auto"/>
        <w:tblInd w:w="108" w:type="dxa"/>
        <w:tblLook w:val="04A0" w:firstRow="1" w:lastRow="0" w:firstColumn="1" w:lastColumn="0" w:noHBand="0" w:noVBand="1"/>
      </w:tblPr>
      <w:tblGrid>
        <w:gridCol w:w="8640"/>
      </w:tblGrid>
      <w:tr w:rsidR="005202CD" w:rsidRPr="00E17436" w:rsidTr="00E626EB">
        <w:tc>
          <w:tcPr>
            <w:tcW w:w="8640" w:type="dxa"/>
            <w:tcBorders>
              <w:top w:val="nil"/>
              <w:left w:val="nil"/>
              <w:bottom w:val="nil"/>
              <w:right w:val="nil"/>
            </w:tcBorders>
            <w:shd w:val="clear" w:color="auto" w:fill="FF0000"/>
          </w:tcPr>
          <w:p w:rsidR="005202CD" w:rsidRPr="00E17436" w:rsidRDefault="005202CD" w:rsidP="00852682">
            <w:pPr>
              <w:jc w:val="center"/>
              <w:rPr>
                <w:rFonts w:ascii="Century Gothic" w:hAnsi="Century Gothic"/>
                <w:color w:val="FFFFFF" w:themeColor="background1"/>
                <w:sz w:val="20"/>
                <w:szCs w:val="20"/>
              </w:rPr>
            </w:pPr>
            <w:r w:rsidRPr="00E17436">
              <w:rPr>
                <w:rFonts w:ascii="Century Gothic" w:hAnsi="Century Gothic"/>
                <w:color w:val="FFFFFF" w:themeColor="background1"/>
                <w:sz w:val="20"/>
                <w:szCs w:val="20"/>
              </w:rPr>
              <w:t>Product Application:</w:t>
            </w:r>
          </w:p>
        </w:tc>
      </w:tr>
    </w:tbl>
    <w:p w:rsidR="005202CD" w:rsidRDefault="005202CD" w:rsidP="005202CD">
      <w:pPr>
        <w:rPr>
          <w:rFonts w:ascii="Century Gothic" w:hAnsi="Century Gothic"/>
          <w:sz w:val="20"/>
          <w:szCs w:val="20"/>
        </w:rPr>
      </w:pPr>
      <w:r w:rsidRPr="00E17436">
        <w:rPr>
          <w:rFonts w:ascii="Century Gothic" w:hAnsi="Century Gothic"/>
          <w:sz w:val="20"/>
          <w:szCs w:val="20"/>
        </w:rPr>
        <w:t xml:space="preserve">Beacon Signal Cut </w:t>
      </w:r>
      <w:r>
        <w:rPr>
          <w:rFonts w:ascii="Century Gothic" w:hAnsi="Century Gothic"/>
          <w:sz w:val="20"/>
          <w:szCs w:val="20"/>
        </w:rPr>
        <w:t>181</w:t>
      </w:r>
      <w:r w:rsidRPr="00E17436">
        <w:rPr>
          <w:rFonts w:ascii="Century Gothic" w:hAnsi="Century Gothic"/>
          <w:sz w:val="20"/>
          <w:szCs w:val="20"/>
        </w:rPr>
        <w:t xml:space="preserve"> is </w:t>
      </w:r>
      <w:r>
        <w:rPr>
          <w:rFonts w:ascii="Century Gothic" w:hAnsi="Century Gothic"/>
          <w:sz w:val="20"/>
          <w:szCs w:val="20"/>
        </w:rPr>
        <w:t xml:space="preserve">a high quality heavy-duty water miscible semi-synthetic metalworking fluid designed for use over a wide and varying water hardness range. It is fortified to provide excellent machining for the most difficult to machine materials, ferrous and nonferrous and the like from turning, milling, and drilling, sawing and grinding applications. </w:t>
      </w:r>
    </w:p>
    <w:p w:rsidR="005202CD" w:rsidRDefault="005202CD" w:rsidP="005202CD">
      <w:pPr>
        <w:rPr>
          <w:rFonts w:ascii="Century Gothic" w:hAnsi="Century Gothic"/>
          <w:sz w:val="20"/>
          <w:szCs w:val="20"/>
        </w:rPr>
      </w:pPr>
    </w:p>
    <w:p w:rsidR="005202CD" w:rsidRDefault="005202CD" w:rsidP="005202CD">
      <w:pPr>
        <w:rPr>
          <w:rFonts w:ascii="Century Gothic" w:hAnsi="Century Gothic"/>
          <w:sz w:val="20"/>
          <w:szCs w:val="20"/>
        </w:rPr>
      </w:pPr>
      <w:r>
        <w:rPr>
          <w:rFonts w:ascii="Century Gothic" w:hAnsi="Century Gothic"/>
          <w:sz w:val="20"/>
          <w:szCs w:val="20"/>
        </w:rPr>
        <w:t xml:space="preserve">Signal Cut 181 is formulated with the latest exacting technology to provide a tightly bonded stable micro-emulsion </w:t>
      </w:r>
      <w:r w:rsidR="006D0A0E">
        <w:rPr>
          <w:rFonts w:ascii="Century Gothic" w:hAnsi="Century Gothic"/>
          <w:sz w:val="20"/>
          <w:szCs w:val="20"/>
        </w:rPr>
        <w:t xml:space="preserve">capable of operating in excessively high oil sump situations </w:t>
      </w:r>
      <w:r>
        <w:rPr>
          <w:rFonts w:ascii="Century Gothic" w:hAnsi="Century Gothic"/>
          <w:sz w:val="20"/>
          <w:szCs w:val="20"/>
        </w:rPr>
        <w:t xml:space="preserve">thus allowing for the most efficient tool life under the most adverse conditions while doing so incorporating advanced chemistry to provide extended fluid life and inhibit microbial growth and provide excellent corrosion protection without leaving sticky residues behind. </w:t>
      </w:r>
    </w:p>
    <w:p w:rsidR="005202CD" w:rsidRDefault="005202CD" w:rsidP="005202CD">
      <w:pPr>
        <w:rPr>
          <w:rFonts w:ascii="Century Gothic" w:hAnsi="Century Gothic"/>
          <w:sz w:val="20"/>
          <w:szCs w:val="20"/>
        </w:rPr>
      </w:pPr>
    </w:p>
    <w:p w:rsidR="005202CD" w:rsidRPr="00E17436" w:rsidRDefault="005202CD" w:rsidP="005202CD">
      <w:pPr>
        <w:rPr>
          <w:rFonts w:ascii="Century Gothic" w:hAnsi="Century Gothic"/>
          <w:sz w:val="20"/>
          <w:szCs w:val="20"/>
        </w:rPr>
      </w:pPr>
      <w:r>
        <w:rPr>
          <w:rFonts w:ascii="Century Gothic" w:hAnsi="Century Gothic"/>
          <w:sz w:val="20"/>
          <w:szCs w:val="20"/>
        </w:rPr>
        <w:t xml:space="preserve">*Signal Cut 181 is environmentally conscious fluid that contains no chlorine, nitrites, heavy metals, phenols or </w:t>
      </w:r>
      <w:proofErr w:type="spellStart"/>
      <w:r>
        <w:rPr>
          <w:rFonts w:ascii="Century Gothic" w:hAnsi="Century Gothic"/>
          <w:sz w:val="20"/>
          <w:szCs w:val="20"/>
        </w:rPr>
        <w:t>diethanolamines</w:t>
      </w:r>
      <w:proofErr w:type="spellEnd"/>
      <w:r>
        <w:rPr>
          <w:rFonts w:ascii="Century Gothic" w:hAnsi="Century Gothic"/>
          <w:sz w:val="20"/>
          <w:szCs w:val="20"/>
        </w:rPr>
        <w:t xml:space="preserve">. </w:t>
      </w:r>
    </w:p>
    <w:tbl>
      <w:tblPr>
        <w:tblStyle w:val="TableGrid"/>
        <w:tblW w:w="0" w:type="auto"/>
        <w:tblInd w:w="108" w:type="dxa"/>
        <w:tblLook w:val="04A0" w:firstRow="1" w:lastRow="0" w:firstColumn="1" w:lastColumn="0" w:noHBand="0" w:noVBand="1"/>
      </w:tblPr>
      <w:tblGrid>
        <w:gridCol w:w="8640"/>
      </w:tblGrid>
      <w:tr w:rsidR="005202CD" w:rsidRPr="00E17436" w:rsidTr="00E626EB">
        <w:tc>
          <w:tcPr>
            <w:tcW w:w="8640" w:type="dxa"/>
            <w:tcBorders>
              <w:top w:val="nil"/>
              <w:left w:val="nil"/>
              <w:bottom w:val="nil"/>
              <w:right w:val="nil"/>
            </w:tcBorders>
            <w:shd w:val="clear" w:color="auto" w:fill="FF0000"/>
          </w:tcPr>
          <w:p w:rsidR="005202CD" w:rsidRPr="00E17436" w:rsidRDefault="005202CD" w:rsidP="00852682">
            <w:pPr>
              <w:jc w:val="center"/>
              <w:rPr>
                <w:rFonts w:ascii="Century Gothic" w:hAnsi="Century Gothic"/>
                <w:color w:val="FFFFFF" w:themeColor="background1"/>
                <w:sz w:val="20"/>
                <w:szCs w:val="20"/>
              </w:rPr>
            </w:pPr>
            <w:r w:rsidRPr="00E17436">
              <w:rPr>
                <w:rFonts w:ascii="Century Gothic" w:hAnsi="Century Gothic"/>
                <w:color w:val="FFFFFF" w:themeColor="background1"/>
                <w:sz w:val="20"/>
                <w:szCs w:val="20"/>
              </w:rPr>
              <w:t>Package Size:</w:t>
            </w:r>
          </w:p>
        </w:tc>
      </w:tr>
    </w:tbl>
    <w:p w:rsidR="005202CD" w:rsidRPr="00E17436" w:rsidRDefault="005202CD" w:rsidP="005202CD">
      <w:pPr>
        <w:rPr>
          <w:rFonts w:ascii="Century Gothic" w:hAnsi="Century Gothic"/>
          <w:sz w:val="20"/>
          <w:szCs w:val="20"/>
        </w:rPr>
      </w:pPr>
      <w:r w:rsidRPr="00E17436">
        <w:rPr>
          <w:rFonts w:ascii="Century Gothic" w:hAnsi="Century Gothic"/>
          <w:sz w:val="20"/>
          <w:szCs w:val="20"/>
        </w:rPr>
        <w:t>Drums, Pails</w:t>
      </w:r>
    </w:p>
    <w:tbl>
      <w:tblPr>
        <w:tblStyle w:val="TableGrid"/>
        <w:tblW w:w="0" w:type="auto"/>
        <w:tblInd w:w="108" w:type="dxa"/>
        <w:tblLook w:val="04A0" w:firstRow="1" w:lastRow="0" w:firstColumn="1" w:lastColumn="0" w:noHBand="0" w:noVBand="1"/>
      </w:tblPr>
      <w:tblGrid>
        <w:gridCol w:w="8640"/>
      </w:tblGrid>
      <w:tr w:rsidR="005202CD" w:rsidRPr="00E17436" w:rsidTr="00E626EB">
        <w:tc>
          <w:tcPr>
            <w:tcW w:w="8640" w:type="dxa"/>
            <w:tcBorders>
              <w:top w:val="nil"/>
              <w:left w:val="nil"/>
              <w:bottom w:val="nil"/>
              <w:right w:val="nil"/>
            </w:tcBorders>
            <w:shd w:val="clear" w:color="auto" w:fill="FF0000"/>
          </w:tcPr>
          <w:p w:rsidR="005202CD" w:rsidRPr="00E17436" w:rsidRDefault="005202CD" w:rsidP="00852682">
            <w:pPr>
              <w:jc w:val="center"/>
              <w:rPr>
                <w:rFonts w:ascii="Century Gothic" w:hAnsi="Century Gothic"/>
                <w:color w:val="FFFFFF" w:themeColor="background1"/>
                <w:sz w:val="20"/>
                <w:szCs w:val="20"/>
              </w:rPr>
            </w:pPr>
            <w:r w:rsidRPr="00E17436">
              <w:rPr>
                <w:rFonts w:ascii="Century Gothic" w:hAnsi="Century Gothic"/>
                <w:color w:val="FFFFFF" w:themeColor="background1"/>
                <w:sz w:val="20"/>
                <w:szCs w:val="20"/>
              </w:rPr>
              <w:t xml:space="preserve">Recommended Concentrations: </w:t>
            </w:r>
          </w:p>
        </w:tc>
      </w:tr>
    </w:tbl>
    <w:p w:rsidR="005202CD" w:rsidRPr="00E17436" w:rsidRDefault="005202CD" w:rsidP="005202CD">
      <w:pPr>
        <w:rPr>
          <w:rFonts w:ascii="Century Gothic" w:hAnsi="Century Gothic"/>
          <w:sz w:val="20"/>
          <w:szCs w:val="20"/>
        </w:rPr>
      </w:pPr>
      <w:r w:rsidRPr="00E17436">
        <w:rPr>
          <w:rFonts w:ascii="Century Gothic" w:hAnsi="Century Gothic"/>
          <w:sz w:val="20"/>
          <w:szCs w:val="20"/>
        </w:rPr>
        <w:t>Grinding</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t>2-3% (50:1 to 30:1)</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Milling, turning, drilling, sawing</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t>3-4% (30:1 to 25:1)</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Broaching, tapping, boring</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Pr>
          <w:rFonts w:ascii="Century Gothic" w:hAnsi="Century Gothic"/>
          <w:sz w:val="20"/>
          <w:szCs w:val="20"/>
        </w:rPr>
        <w:tab/>
      </w:r>
      <w:r w:rsidRPr="00E17436">
        <w:rPr>
          <w:rFonts w:ascii="Century Gothic" w:hAnsi="Century Gothic"/>
          <w:sz w:val="20"/>
          <w:szCs w:val="20"/>
        </w:rPr>
        <w:t>4-5% (25:1 to 20:1)</w:t>
      </w:r>
    </w:p>
    <w:tbl>
      <w:tblPr>
        <w:tblStyle w:val="TableGrid"/>
        <w:tblW w:w="0" w:type="auto"/>
        <w:tblInd w:w="108" w:type="dxa"/>
        <w:tblLook w:val="04A0" w:firstRow="1" w:lastRow="0" w:firstColumn="1" w:lastColumn="0" w:noHBand="0" w:noVBand="1"/>
      </w:tblPr>
      <w:tblGrid>
        <w:gridCol w:w="8640"/>
      </w:tblGrid>
      <w:tr w:rsidR="005202CD" w:rsidRPr="00E17436" w:rsidTr="00E626EB">
        <w:tc>
          <w:tcPr>
            <w:tcW w:w="8640" w:type="dxa"/>
            <w:tcBorders>
              <w:top w:val="nil"/>
              <w:left w:val="nil"/>
              <w:bottom w:val="nil"/>
              <w:right w:val="nil"/>
            </w:tcBorders>
            <w:shd w:val="clear" w:color="auto" w:fill="FF0000"/>
          </w:tcPr>
          <w:p w:rsidR="005202CD" w:rsidRPr="00E17436" w:rsidRDefault="005202CD" w:rsidP="00852682">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Features and Advantages:</w:t>
            </w:r>
          </w:p>
        </w:tc>
      </w:tr>
    </w:tbl>
    <w:p w:rsidR="005202CD" w:rsidRPr="00E17436" w:rsidRDefault="005202CD" w:rsidP="005202CD">
      <w:pPr>
        <w:rPr>
          <w:rFonts w:ascii="Century Gothic" w:hAnsi="Century Gothic"/>
          <w:sz w:val="20"/>
          <w:szCs w:val="20"/>
        </w:rPr>
      </w:pPr>
      <w:r w:rsidRPr="00E17436">
        <w:rPr>
          <w:rFonts w:ascii="Century Gothic" w:hAnsi="Century Gothic"/>
          <w:sz w:val="20"/>
          <w:szCs w:val="20"/>
        </w:rPr>
        <w:t>*</w:t>
      </w:r>
      <w:r>
        <w:rPr>
          <w:rFonts w:ascii="Century Gothic" w:hAnsi="Century Gothic"/>
          <w:sz w:val="20"/>
          <w:szCs w:val="20"/>
        </w:rPr>
        <w:t>Excellent microbial resistance, increased sump life</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*Non-foam</w:t>
      </w:r>
      <w:r>
        <w:rPr>
          <w:rFonts w:ascii="Century Gothic" w:hAnsi="Century Gothic"/>
          <w:sz w:val="20"/>
          <w:szCs w:val="20"/>
        </w:rPr>
        <w:t>ing and non-misting performance</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*Oil rejecting</w:t>
      </w:r>
      <w:r>
        <w:rPr>
          <w:rFonts w:ascii="Century Gothic" w:hAnsi="Century Gothic"/>
          <w:sz w:val="20"/>
          <w:szCs w:val="20"/>
        </w:rPr>
        <w:t xml:space="preserve"> capabilities (effluent oils)</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 xml:space="preserve">*Improved protection against </w:t>
      </w:r>
      <w:r>
        <w:rPr>
          <w:rFonts w:ascii="Century Gothic" w:hAnsi="Century Gothic"/>
          <w:sz w:val="20"/>
          <w:szCs w:val="20"/>
        </w:rPr>
        <w:t>chip buildup and tool face wear</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*provides excellen</w:t>
      </w:r>
      <w:r>
        <w:rPr>
          <w:rFonts w:ascii="Century Gothic" w:hAnsi="Century Gothic"/>
          <w:sz w:val="20"/>
          <w:szCs w:val="20"/>
        </w:rPr>
        <w:t>t rust and corrosion protection</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*Provides unequa</w:t>
      </w:r>
      <w:r>
        <w:rPr>
          <w:rFonts w:ascii="Century Gothic" w:hAnsi="Century Gothic"/>
          <w:sz w:val="20"/>
          <w:szCs w:val="20"/>
        </w:rPr>
        <w:t>led extreme pressure properties</w:t>
      </w:r>
    </w:p>
    <w:p w:rsidR="005202CD" w:rsidRDefault="005202CD" w:rsidP="005202CD">
      <w:pPr>
        <w:rPr>
          <w:rFonts w:ascii="Century Gothic" w:hAnsi="Century Gothic"/>
          <w:sz w:val="20"/>
          <w:szCs w:val="20"/>
        </w:rPr>
      </w:pPr>
      <w:r>
        <w:rPr>
          <w:rFonts w:ascii="Century Gothic" w:hAnsi="Century Gothic"/>
          <w:sz w:val="20"/>
          <w:szCs w:val="20"/>
        </w:rPr>
        <w:t>*Exceptionally clean fluid leaves no sticky residue on parts</w:t>
      </w:r>
    </w:p>
    <w:p w:rsidR="005202CD" w:rsidRPr="00E17436" w:rsidRDefault="005202CD" w:rsidP="005202CD">
      <w:pPr>
        <w:rPr>
          <w:rFonts w:ascii="Century Gothic" w:hAnsi="Century Gothic"/>
          <w:sz w:val="20"/>
          <w:szCs w:val="20"/>
        </w:rPr>
      </w:pPr>
      <w:r>
        <w:rPr>
          <w:rFonts w:ascii="Century Gothic" w:hAnsi="Century Gothic"/>
          <w:sz w:val="20"/>
          <w:szCs w:val="20"/>
        </w:rPr>
        <w:t>*Wide application range</w:t>
      </w:r>
    </w:p>
    <w:tbl>
      <w:tblPr>
        <w:tblStyle w:val="TableGrid"/>
        <w:tblW w:w="0" w:type="auto"/>
        <w:tblInd w:w="108" w:type="dxa"/>
        <w:tblLook w:val="04A0" w:firstRow="1" w:lastRow="0" w:firstColumn="1" w:lastColumn="0" w:noHBand="0" w:noVBand="1"/>
      </w:tblPr>
      <w:tblGrid>
        <w:gridCol w:w="8640"/>
      </w:tblGrid>
      <w:tr w:rsidR="005202CD" w:rsidRPr="00E17436" w:rsidTr="00E626EB">
        <w:tc>
          <w:tcPr>
            <w:tcW w:w="8640" w:type="dxa"/>
            <w:tcBorders>
              <w:top w:val="nil"/>
              <w:left w:val="nil"/>
              <w:bottom w:val="nil"/>
              <w:right w:val="nil"/>
            </w:tcBorders>
            <w:shd w:val="clear" w:color="auto" w:fill="FF0000"/>
          </w:tcPr>
          <w:p w:rsidR="005202CD" w:rsidRPr="00E17436" w:rsidRDefault="005202CD" w:rsidP="00852682">
            <w:pPr>
              <w:jc w:val="center"/>
              <w:rPr>
                <w:rFonts w:ascii="Century Gothic" w:hAnsi="Century Gothic"/>
                <w:color w:val="FFFFFF" w:themeColor="background1"/>
                <w:sz w:val="20"/>
                <w:szCs w:val="20"/>
              </w:rPr>
            </w:pPr>
            <w:r w:rsidRPr="00E17436">
              <w:rPr>
                <w:rFonts w:ascii="Century Gothic" w:hAnsi="Century Gothic"/>
                <w:color w:val="FFFFFF" w:themeColor="background1"/>
                <w:sz w:val="20"/>
                <w:szCs w:val="20"/>
              </w:rPr>
              <w:t xml:space="preserve">Typical Characteristics: </w:t>
            </w:r>
          </w:p>
        </w:tc>
      </w:tr>
    </w:tbl>
    <w:p w:rsidR="005202CD" w:rsidRDefault="005202CD" w:rsidP="005202CD">
      <w:pPr>
        <w:rPr>
          <w:rFonts w:ascii="Century Gothic" w:hAnsi="Century Gothic"/>
          <w:sz w:val="20"/>
          <w:szCs w:val="20"/>
        </w:rPr>
      </w:pPr>
    </w:p>
    <w:p w:rsidR="005202CD" w:rsidRPr="00E17436" w:rsidRDefault="003C0051" w:rsidP="005202CD">
      <w:pPr>
        <w:rPr>
          <w:rFonts w:ascii="Century Gothic" w:hAnsi="Century Gothic"/>
          <w:sz w:val="20"/>
          <w:szCs w:val="20"/>
        </w:rPr>
      </w:pPr>
      <w:r>
        <w:rPr>
          <w:rFonts w:ascii="Century Gothic" w:hAnsi="Century Gothic"/>
          <w:sz w:val="20"/>
          <w:szCs w:val="20"/>
        </w:rPr>
        <w:t>Color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5202CD" w:rsidRPr="00E17436">
        <w:rPr>
          <w:rFonts w:ascii="Century Gothic" w:hAnsi="Century Gothic"/>
          <w:sz w:val="20"/>
          <w:szCs w:val="20"/>
        </w:rPr>
        <w:t>Amber</w:t>
      </w:r>
    </w:p>
    <w:p w:rsidR="005202CD" w:rsidRPr="00E17436" w:rsidRDefault="003C0051" w:rsidP="005202CD">
      <w:pPr>
        <w:rPr>
          <w:rFonts w:ascii="Century Gothic" w:hAnsi="Century Gothic"/>
          <w:sz w:val="20"/>
          <w:szCs w:val="20"/>
        </w:rPr>
      </w:pPr>
      <w:r>
        <w:rPr>
          <w:rFonts w:ascii="Century Gothic" w:hAnsi="Century Gothic"/>
          <w:sz w:val="20"/>
          <w:szCs w:val="20"/>
        </w:rPr>
        <w:t>Specific Gravity</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1.045</w:t>
      </w:r>
    </w:p>
    <w:p w:rsidR="005202CD" w:rsidRPr="00E17436" w:rsidRDefault="005202CD" w:rsidP="005202CD">
      <w:pPr>
        <w:rPr>
          <w:rFonts w:ascii="Century Gothic" w:hAnsi="Century Gothic"/>
          <w:sz w:val="20"/>
          <w:szCs w:val="20"/>
        </w:rPr>
      </w:pPr>
      <w:proofErr w:type="gramStart"/>
      <w:r w:rsidRPr="00E17436">
        <w:rPr>
          <w:rFonts w:ascii="Century Gothic" w:hAnsi="Century Gothic"/>
          <w:sz w:val="20"/>
          <w:szCs w:val="20"/>
        </w:rPr>
        <w:t>pH</w:t>
      </w:r>
      <w:proofErr w:type="gramEnd"/>
      <w:r w:rsidRPr="00E17436">
        <w:rPr>
          <w:rFonts w:ascii="Century Gothic" w:hAnsi="Century Gothic"/>
          <w:sz w:val="20"/>
          <w:szCs w:val="20"/>
        </w:rPr>
        <w:t xml:space="preserve"> @ 20:1 Dilution</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t>9.2</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Hard Water Stability</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ab/>
      </w:r>
      <w:proofErr w:type="gramStart"/>
      <w:r w:rsidRPr="00E17436">
        <w:rPr>
          <w:rFonts w:ascii="Century Gothic" w:hAnsi="Century Gothic"/>
          <w:sz w:val="20"/>
          <w:szCs w:val="20"/>
        </w:rPr>
        <w:t>25 hrs.</w:t>
      </w:r>
      <w:proofErr w:type="gramEnd"/>
      <w:r w:rsidRPr="00E17436">
        <w:rPr>
          <w:rFonts w:ascii="Century Gothic" w:hAnsi="Century Gothic"/>
          <w:sz w:val="20"/>
          <w:szCs w:val="20"/>
        </w:rPr>
        <w:t xml:space="preserve"> @ 600ppm</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t>No Cream</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Cast Iron Rust Chip Test</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ab/>
      </w:r>
      <w:proofErr w:type="gramStart"/>
      <w:r w:rsidRPr="00E17436">
        <w:rPr>
          <w:rFonts w:ascii="Century Gothic" w:hAnsi="Century Gothic"/>
          <w:sz w:val="20"/>
          <w:szCs w:val="20"/>
        </w:rPr>
        <w:t>25 hrs.</w:t>
      </w:r>
      <w:proofErr w:type="gramEnd"/>
      <w:r w:rsidRPr="00E17436">
        <w:rPr>
          <w:rFonts w:ascii="Century Gothic" w:hAnsi="Century Gothic"/>
          <w:sz w:val="20"/>
          <w:szCs w:val="20"/>
        </w:rPr>
        <w:t xml:space="preserve"> </w:t>
      </w:r>
      <w:proofErr w:type="gramStart"/>
      <w:r w:rsidRPr="00E17436">
        <w:rPr>
          <w:rFonts w:ascii="Century Gothic" w:hAnsi="Century Gothic"/>
          <w:sz w:val="20"/>
          <w:szCs w:val="20"/>
        </w:rPr>
        <w:t>in</w:t>
      </w:r>
      <w:proofErr w:type="gramEnd"/>
      <w:r w:rsidRPr="00E17436">
        <w:rPr>
          <w:rFonts w:ascii="Century Gothic" w:hAnsi="Century Gothic"/>
          <w:sz w:val="20"/>
          <w:szCs w:val="20"/>
        </w:rPr>
        <w:t xml:space="preserve"> 100 ppm water</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t>No Rust @ 33:1</w:t>
      </w:r>
    </w:p>
    <w:p w:rsidR="005202CD" w:rsidRPr="00E17436" w:rsidRDefault="005202CD" w:rsidP="005202CD">
      <w:pPr>
        <w:rPr>
          <w:rFonts w:ascii="Century Gothic" w:hAnsi="Century Gothic"/>
          <w:sz w:val="20"/>
          <w:szCs w:val="20"/>
        </w:rPr>
      </w:pPr>
      <w:r w:rsidRPr="00E17436">
        <w:rPr>
          <w:rFonts w:ascii="Century Gothic" w:hAnsi="Century Gothic"/>
          <w:sz w:val="20"/>
          <w:szCs w:val="20"/>
        </w:rPr>
        <w:t>Refractometer Reading</w:t>
      </w:r>
      <w:r w:rsidRPr="00E17436">
        <w:rPr>
          <w:rFonts w:ascii="Century Gothic" w:hAnsi="Century Gothic"/>
          <w:sz w:val="20"/>
          <w:szCs w:val="20"/>
        </w:rPr>
        <w:tab/>
      </w:r>
    </w:p>
    <w:p w:rsidR="005202CD" w:rsidRPr="00CF65ED" w:rsidRDefault="005202CD" w:rsidP="005202CD">
      <w:pPr>
        <w:rPr>
          <w:rFonts w:ascii="Century Gothic" w:hAnsi="Century Gothic"/>
          <w:sz w:val="20"/>
          <w:szCs w:val="20"/>
        </w:rPr>
      </w:pPr>
      <w:r w:rsidRPr="00E17436">
        <w:rPr>
          <w:rFonts w:ascii="Century Gothic" w:hAnsi="Century Gothic"/>
          <w:sz w:val="20"/>
          <w:szCs w:val="20"/>
        </w:rPr>
        <w:tab/>
        <w:t>@ 20:1 Dilution (Brix)</w:t>
      </w:r>
      <w:r w:rsidRPr="00E17436">
        <w:rPr>
          <w:rFonts w:ascii="Century Gothic" w:hAnsi="Century Gothic"/>
          <w:sz w:val="20"/>
          <w:szCs w:val="20"/>
        </w:rPr>
        <w:tab/>
      </w:r>
      <w:bookmarkStart w:id="0" w:name="_GoBack"/>
      <w:bookmarkEnd w:id="0"/>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Pr>
          <w:rFonts w:ascii="Century Gothic" w:hAnsi="Century Gothic"/>
          <w:sz w:val="20"/>
          <w:szCs w:val="20"/>
        </w:rPr>
        <w:tab/>
      </w:r>
      <w:r w:rsidR="00AF45AD">
        <w:rPr>
          <w:rFonts w:ascii="Century Gothic" w:hAnsi="Century Gothic"/>
          <w:sz w:val="20"/>
          <w:szCs w:val="20"/>
        </w:rPr>
        <w:t>5</w:t>
      </w:r>
      <w:r w:rsidRPr="00E17436">
        <w:rPr>
          <w:rFonts w:ascii="Century Gothic" w:hAnsi="Century Gothic"/>
          <w:sz w:val="20"/>
          <w:szCs w:val="20"/>
        </w:rPr>
        <w:t>.0</w:t>
      </w:r>
    </w:p>
    <w:p w:rsidR="00A30ED6" w:rsidRDefault="00A30ED6"/>
    <w:p w:rsidR="00C3023C" w:rsidRDefault="00C3023C"/>
    <w:p w:rsidR="00C3023C" w:rsidRPr="00C3023C" w:rsidRDefault="00C3023C" w:rsidP="00C3023C">
      <w:pPr>
        <w:jc w:val="center"/>
        <w:rPr>
          <w:rFonts w:ascii="Century Gothic" w:hAnsi="Century Gothic"/>
          <w:sz w:val="20"/>
          <w:szCs w:val="20"/>
        </w:rPr>
      </w:pPr>
      <w:r w:rsidRPr="00C3023C">
        <w:rPr>
          <w:rFonts w:ascii="Century Gothic" w:hAnsi="Century Gothic"/>
          <w:sz w:val="20"/>
          <w:szCs w:val="20"/>
        </w:rPr>
        <w:t>www.beaconlubricants.com</w:t>
      </w:r>
    </w:p>
    <w:sectPr w:rsidR="00C3023C" w:rsidRPr="00C3023C" w:rsidSect="002E610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4A0" w:rsidRDefault="009464A0">
      <w:r>
        <w:separator/>
      </w:r>
    </w:p>
  </w:endnote>
  <w:endnote w:type="continuationSeparator" w:id="0">
    <w:p w:rsidR="009464A0" w:rsidRDefault="0094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066092"/>
      <w:docPartObj>
        <w:docPartGallery w:val="Page Numbers (Bottom of Page)"/>
        <w:docPartUnique/>
      </w:docPartObj>
    </w:sdtPr>
    <w:sdtEndPr>
      <w:rPr>
        <w:noProof/>
      </w:rPr>
    </w:sdtEndPr>
    <w:sdtContent>
      <w:p w:rsidR="00436A46" w:rsidRDefault="003C0051">
        <w:pPr>
          <w:pStyle w:val="Footer"/>
          <w:jc w:val="center"/>
        </w:pPr>
        <w:r>
          <w:fldChar w:fldCharType="begin"/>
        </w:r>
        <w:r>
          <w:instrText xml:space="preserve"> PAGE   \* MERGEFORMAT </w:instrText>
        </w:r>
        <w:r>
          <w:fldChar w:fldCharType="separate"/>
        </w:r>
        <w:r w:rsidR="00C3023C">
          <w:rPr>
            <w:noProof/>
          </w:rPr>
          <w:t>1</w:t>
        </w:r>
        <w:r>
          <w:rPr>
            <w:noProof/>
          </w:rPr>
          <w:fldChar w:fldCharType="end"/>
        </w:r>
      </w:p>
    </w:sdtContent>
  </w:sdt>
  <w:p w:rsidR="00436A46" w:rsidRDefault="00C30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4A0" w:rsidRDefault="009464A0">
      <w:r>
        <w:separator/>
      </w:r>
    </w:p>
  </w:footnote>
  <w:footnote w:type="continuationSeparator" w:id="0">
    <w:p w:rsidR="009464A0" w:rsidRDefault="00946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36" w:rsidRDefault="00816CAF">
    <w:pPr>
      <w:pStyle w:val="Header"/>
    </w:pPr>
    <w:r>
      <w:rPr>
        <w:noProof/>
      </w:rPr>
      <w:drawing>
        <wp:inline distT="0" distB="0" distL="0" distR="0">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CD"/>
    <w:rsid w:val="001E7EAB"/>
    <w:rsid w:val="003C0051"/>
    <w:rsid w:val="003E0EE3"/>
    <w:rsid w:val="005202CD"/>
    <w:rsid w:val="006D0A0E"/>
    <w:rsid w:val="00816CAF"/>
    <w:rsid w:val="009464A0"/>
    <w:rsid w:val="00A30ED6"/>
    <w:rsid w:val="00AF45AD"/>
    <w:rsid w:val="00C3023C"/>
    <w:rsid w:val="00E6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C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2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2CD"/>
    <w:pPr>
      <w:tabs>
        <w:tab w:val="center" w:pos="4680"/>
        <w:tab w:val="right" w:pos="9360"/>
      </w:tabs>
    </w:pPr>
  </w:style>
  <w:style w:type="character" w:customStyle="1" w:styleId="HeaderChar">
    <w:name w:val="Header Char"/>
    <w:basedOn w:val="DefaultParagraphFont"/>
    <w:link w:val="Header"/>
    <w:uiPriority w:val="99"/>
    <w:rsid w:val="005202CD"/>
    <w:rPr>
      <w:rFonts w:eastAsiaTheme="minorEastAsia"/>
      <w:sz w:val="24"/>
      <w:szCs w:val="24"/>
    </w:rPr>
  </w:style>
  <w:style w:type="paragraph" w:styleId="Footer">
    <w:name w:val="footer"/>
    <w:basedOn w:val="Normal"/>
    <w:link w:val="FooterChar"/>
    <w:uiPriority w:val="99"/>
    <w:unhideWhenUsed/>
    <w:rsid w:val="005202CD"/>
    <w:pPr>
      <w:tabs>
        <w:tab w:val="center" w:pos="4680"/>
        <w:tab w:val="right" w:pos="9360"/>
      </w:tabs>
    </w:pPr>
  </w:style>
  <w:style w:type="character" w:customStyle="1" w:styleId="FooterChar">
    <w:name w:val="Footer Char"/>
    <w:basedOn w:val="DefaultParagraphFont"/>
    <w:link w:val="Footer"/>
    <w:uiPriority w:val="99"/>
    <w:rsid w:val="005202CD"/>
    <w:rPr>
      <w:rFonts w:eastAsiaTheme="minorEastAsia"/>
      <w:sz w:val="24"/>
      <w:szCs w:val="24"/>
    </w:rPr>
  </w:style>
  <w:style w:type="paragraph" w:styleId="BalloonText">
    <w:name w:val="Balloon Text"/>
    <w:basedOn w:val="Normal"/>
    <w:link w:val="BalloonTextChar"/>
    <w:uiPriority w:val="99"/>
    <w:semiHidden/>
    <w:unhideWhenUsed/>
    <w:rsid w:val="005202CD"/>
    <w:rPr>
      <w:rFonts w:ascii="Tahoma" w:hAnsi="Tahoma" w:cs="Tahoma"/>
      <w:sz w:val="16"/>
      <w:szCs w:val="16"/>
    </w:rPr>
  </w:style>
  <w:style w:type="character" w:customStyle="1" w:styleId="BalloonTextChar">
    <w:name w:val="Balloon Text Char"/>
    <w:basedOn w:val="DefaultParagraphFont"/>
    <w:link w:val="BalloonText"/>
    <w:uiPriority w:val="99"/>
    <w:semiHidden/>
    <w:rsid w:val="005202C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C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2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2CD"/>
    <w:pPr>
      <w:tabs>
        <w:tab w:val="center" w:pos="4680"/>
        <w:tab w:val="right" w:pos="9360"/>
      </w:tabs>
    </w:pPr>
  </w:style>
  <w:style w:type="character" w:customStyle="1" w:styleId="HeaderChar">
    <w:name w:val="Header Char"/>
    <w:basedOn w:val="DefaultParagraphFont"/>
    <w:link w:val="Header"/>
    <w:uiPriority w:val="99"/>
    <w:rsid w:val="005202CD"/>
    <w:rPr>
      <w:rFonts w:eastAsiaTheme="minorEastAsia"/>
      <w:sz w:val="24"/>
      <w:szCs w:val="24"/>
    </w:rPr>
  </w:style>
  <w:style w:type="paragraph" w:styleId="Footer">
    <w:name w:val="footer"/>
    <w:basedOn w:val="Normal"/>
    <w:link w:val="FooterChar"/>
    <w:uiPriority w:val="99"/>
    <w:unhideWhenUsed/>
    <w:rsid w:val="005202CD"/>
    <w:pPr>
      <w:tabs>
        <w:tab w:val="center" w:pos="4680"/>
        <w:tab w:val="right" w:pos="9360"/>
      </w:tabs>
    </w:pPr>
  </w:style>
  <w:style w:type="character" w:customStyle="1" w:styleId="FooterChar">
    <w:name w:val="Footer Char"/>
    <w:basedOn w:val="DefaultParagraphFont"/>
    <w:link w:val="Footer"/>
    <w:uiPriority w:val="99"/>
    <w:rsid w:val="005202CD"/>
    <w:rPr>
      <w:rFonts w:eastAsiaTheme="minorEastAsia"/>
      <w:sz w:val="24"/>
      <w:szCs w:val="24"/>
    </w:rPr>
  </w:style>
  <w:style w:type="paragraph" w:styleId="BalloonText">
    <w:name w:val="Balloon Text"/>
    <w:basedOn w:val="Normal"/>
    <w:link w:val="BalloonTextChar"/>
    <w:uiPriority w:val="99"/>
    <w:semiHidden/>
    <w:unhideWhenUsed/>
    <w:rsid w:val="005202CD"/>
    <w:rPr>
      <w:rFonts w:ascii="Tahoma" w:hAnsi="Tahoma" w:cs="Tahoma"/>
      <w:sz w:val="16"/>
      <w:szCs w:val="16"/>
    </w:rPr>
  </w:style>
  <w:style w:type="character" w:customStyle="1" w:styleId="BalloonTextChar">
    <w:name w:val="Balloon Text Char"/>
    <w:basedOn w:val="DefaultParagraphFont"/>
    <w:link w:val="BalloonText"/>
    <w:uiPriority w:val="99"/>
    <w:semiHidden/>
    <w:rsid w:val="005202C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6</cp:revision>
  <dcterms:created xsi:type="dcterms:W3CDTF">2015-04-02T13:03:00Z</dcterms:created>
  <dcterms:modified xsi:type="dcterms:W3CDTF">2017-02-06T17:27:00Z</dcterms:modified>
</cp:coreProperties>
</file>