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>ignal Cut 3</w:t>
      </w:r>
      <w:r w:rsidR="000379EE">
        <w:rPr>
          <w:rFonts w:ascii="Century Gothic" w:eastAsiaTheme="minorEastAsia" w:hAnsi="Century Gothic"/>
          <w:b/>
          <w:sz w:val="24"/>
          <w:szCs w:val="24"/>
        </w:rPr>
        <w:t>04</w:t>
      </w:r>
      <w:r w:rsidR="00236384">
        <w:rPr>
          <w:rFonts w:ascii="Century Gothic" w:eastAsiaTheme="minorEastAsia" w:hAnsi="Century Gothic"/>
          <w:b/>
          <w:sz w:val="24"/>
          <w:szCs w:val="24"/>
        </w:rPr>
        <w:t xml:space="preserve">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304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Oil is a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revolutionary </w:t>
      </w:r>
      <w:r w:rsidRPr="007375C4">
        <w:rPr>
          <w:rFonts w:ascii="Century Gothic" w:eastAsiaTheme="minorEastAsia" w:hAnsi="Century Gothic"/>
          <w:sz w:val="20"/>
          <w:szCs w:val="20"/>
        </w:rPr>
        <w:t>cutting edge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ligh</w:t>
      </w:r>
      <w:r w:rsidR="00BF1E07">
        <w:rPr>
          <w:rFonts w:ascii="Century Gothic" w:eastAsiaTheme="minorEastAsia" w:hAnsi="Century Gothic"/>
          <w:sz w:val="20"/>
          <w:szCs w:val="20"/>
        </w:rPr>
        <w:t>t viscosity</w:t>
      </w:r>
      <w:r w:rsidR="0014294F">
        <w:rPr>
          <w:rFonts w:ascii="Century Gothic" w:eastAsiaTheme="minorEastAsia" w:hAnsi="Century Gothic"/>
          <w:sz w:val="20"/>
          <w:szCs w:val="20"/>
        </w:rPr>
        <w:t>,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low odor, mineral, vegetable ester, 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synthetic blend, heavy duty cutting oil, ideally suited for high speed heavy duty extended run applications </w:t>
      </w:r>
      <w:r>
        <w:rPr>
          <w:rFonts w:ascii="Century Gothic" w:eastAsiaTheme="minorEastAsia" w:hAnsi="Century Gothic"/>
          <w:sz w:val="20"/>
          <w:szCs w:val="20"/>
        </w:rPr>
        <w:t xml:space="preserve">and technical precision machining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encountered in </w:t>
      </w:r>
      <w:r w:rsidR="0014294F">
        <w:rPr>
          <w:rFonts w:ascii="Century Gothic" w:eastAsiaTheme="minorEastAsia" w:hAnsi="Century Gothic"/>
          <w:sz w:val="20"/>
          <w:szCs w:val="20"/>
        </w:rPr>
        <w:t xml:space="preserve">modern </w:t>
      </w:r>
      <w:r w:rsidR="00DE23DF">
        <w:rPr>
          <w:rFonts w:ascii="Century Gothic" w:eastAsiaTheme="minorEastAsia" w:hAnsi="Century Gothic"/>
          <w:sz w:val="20"/>
          <w:szCs w:val="20"/>
        </w:rPr>
        <w:t xml:space="preserve">computer and numerical controlled machines (or CNC machines) </w:t>
      </w:r>
      <w:r w:rsidRPr="007375C4">
        <w:rPr>
          <w:rFonts w:ascii="Century Gothic" w:eastAsiaTheme="minorEastAsia" w:hAnsi="Century Gothic"/>
          <w:sz w:val="20"/>
          <w:szCs w:val="20"/>
        </w:rPr>
        <w:t>where fine finishes, high heat dissipati</w:t>
      </w:r>
      <w:r w:rsidR="001518A9">
        <w:rPr>
          <w:rFonts w:ascii="Century Gothic" w:eastAsiaTheme="minorEastAsia" w:hAnsi="Century Gothic"/>
          <w:sz w:val="20"/>
          <w:szCs w:val="20"/>
        </w:rPr>
        <w:t>on and maximum flush of fines are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required.</w:t>
      </w: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Signal Cut 3</w:t>
      </w:r>
      <w:r>
        <w:rPr>
          <w:rFonts w:ascii="Century Gothic" w:eastAsiaTheme="minorEastAsia" w:hAnsi="Century Gothic"/>
          <w:sz w:val="20"/>
          <w:szCs w:val="20"/>
        </w:rPr>
        <w:t>04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 utilizes carefully selected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pure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mineral and sheer </w:t>
      </w:r>
      <w:r w:rsidR="00AB2DF7">
        <w:rPr>
          <w:rFonts w:ascii="Century Gothic" w:eastAsiaTheme="minorEastAsia" w:hAnsi="Century Gothic"/>
          <w:sz w:val="20"/>
          <w:szCs w:val="20"/>
        </w:rPr>
        <w:t xml:space="preserve">stable </w:t>
      </w:r>
      <w:r w:rsidR="00BF1E07">
        <w:rPr>
          <w:rFonts w:ascii="Century Gothic" w:eastAsiaTheme="minorEastAsia" w:hAnsi="Century Gothic"/>
          <w:sz w:val="20"/>
          <w:szCs w:val="20"/>
        </w:rPr>
        <w:t>synthetic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base stocks 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blended with technologically advanced </w:t>
      </w:r>
      <w:r w:rsidRPr="007375C4">
        <w:rPr>
          <w:rFonts w:ascii="Century Gothic" w:eastAsiaTheme="minorEastAsia" w:hAnsi="Century Gothic"/>
          <w:sz w:val="20"/>
          <w:szCs w:val="20"/>
        </w:rPr>
        <w:t>sulfurized vegetable ester polymer additives</w:t>
      </w:r>
      <w:r w:rsidR="00142ED1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further </w:t>
      </w:r>
      <w:r w:rsidR="00142ED1">
        <w:rPr>
          <w:rFonts w:ascii="Century Gothic" w:eastAsiaTheme="minorEastAsia" w:hAnsi="Century Gothic"/>
          <w:sz w:val="20"/>
          <w:szCs w:val="20"/>
        </w:rPr>
        <w:t>fortified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 with</w:t>
      </w:r>
      <w:r>
        <w:rPr>
          <w:rFonts w:ascii="Century Gothic" w:eastAsiaTheme="minorEastAsia" w:hAnsi="Century Gothic"/>
          <w:sz w:val="20"/>
          <w:szCs w:val="20"/>
        </w:rPr>
        <w:t xml:space="preserve"> chlorinated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paraffins</w:t>
      </w:r>
      <w:proofErr w:type="spellEnd"/>
      <w:r w:rsidRPr="007375C4">
        <w:rPr>
          <w:rFonts w:ascii="Century Gothic" w:eastAsiaTheme="minorEastAsia" w:hAnsi="Century Gothic"/>
          <w:sz w:val="20"/>
          <w:szCs w:val="20"/>
        </w:rPr>
        <w:t xml:space="preserve"> to provide </w:t>
      </w:r>
      <w:r w:rsidR="00BF1E07">
        <w:rPr>
          <w:rFonts w:ascii="Century Gothic" w:eastAsiaTheme="minorEastAsia" w:hAnsi="Century Gothic"/>
          <w:sz w:val="20"/>
          <w:szCs w:val="20"/>
        </w:rPr>
        <w:t xml:space="preserve">for </w:t>
      </w:r>
      <w:r w:rsidRPr="007375C4">
        <w:rPr>
          <w:rFonts w:ascii="Century Gothic" w:eastAsiaTheme="minorEastAsia" w:hAnsi="Century Gothic"/>
          <w:sz w:val="20"/>
          <w:szCs w:val="20"/>
        </w:rPr>
        <w:t>an excellent heavy duty cutting fluid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excelling in the machining of </w:t>
      </w:r>
      <w:r w:rsidRPr="007375C4">
        <w:rPr>
          <w:rFonts w:ascii="Century Gothic" w:eastAsiaTheme="minorEastAsia" w:hAnsi="Century Gothic"/>
          <w:sz w:val="20"/>
          <w:szCs w:val="20"/>
        </w:rPr>
        <w:t>ferrous and non-ferrous metals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as well as exotic materials </w:t>
      </w:r>
      <w:r>
        <w:rPr>
          <w:rFonts w:ascii="Century Gothic" w:eastAsiaTheme="minorEastAsia" w:hAnsi="Century Gothic"/>
          <w:sz w:val="20"/>
          <w:szCs w:val="20"/>
        </w:rPr>
        <w:t xml:space="preserve">such as </w:t>
      </w:r>
      <w:proofErr w:type="spellStart"/>
      <w:r>
        <w:rPr>
          <w:rFonts w:ascii="Century Gothic" w:eastAsiaTheme="minorEastAsia" w:hAnsi="Century Gothic"/>
          <w:sz w:val="20"/>
          <w:szCs w:val="20"/>
        </w:rPr>
        <w:t>Hastelloy</w:t>
      </w:r>
      <w:proofErr w:type="spellEnd"/>
      <w:r w:rsidR="00E8420C">
        <w:rPr>
          <w:rFonts w:ascii="Century Gothic" w:eastAsiaTheme="minorEastAsia" w:hAnsi="Century Gothic"/>
          <w:sz w:val="20"/>
          <w:szCs w:val="20"/>
        </w:rPr>
        <w:t xml:space="preserve"> and</w:t>
      </w:r>
      <w:r w:rsidR="003C355E">
        <w:rPr>
          <w:rFonts w:ascii="Century Gothic" w:eastAsiaTheme="minorEastAsia" w:hAnsi="Century Gothic"/>
          <w:sz w:val="20"/>
          <w:szCs w:val="20"/>
        </w:rPr>
        <w:t xml:space="preserve"> titanium</w:t>
      </w:r>
      <w:r w:rsidRPr="007375C4">
        <w:rPr>
          <w:rFonts w:ascii="Century Gothic" w:eastAsiaTheme="minorEastAsia" w:hAnsi="Century Gothic"/>
          <w:sz w:val="20"/>
          <w:szCs w:val="20"/>
        </w:rPr>
        <w:t>.</w:t>
      </w:r>
      <w:bookmarkStart w:id="0" w:name="_GoBack"/>
      <w:bookmarkEnd w:id="0"/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7375C4" w:rsidRPr="007375C4" w:rsidRDefault="007375C4" w:rsidP="007375C4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7375C4">
        <w:rPr>
          <w:rFonts w:ascii="Century Gothic" w:eastAsiaTheme="minorEastAsia" w:hAnsi="Century Gothic"/>
          <w:sz w:val="20"/>
          <w:szCs w:val="20"/>
        </w:rPr>
        <w:t>Due to the heavy duty component technology, S</w:t>
      </w:r>
      <w:r>
        <w:rPr>
          <w:rFonts w:ascii="Century Gothic" w:eastAsiaTheme="minorEastAsia" w:hAnsi="Century Gothic"/>
          <w:sz w:val="20"/>
          <w:szCs w:val="20"/>
        </w:rPr>
        <w:t>ignal Cut 304</w:t>
      </w:r>
      <w:r w:rsidRPr="007375C4">
        <w:rPr>
          <w:rFonts w:ascii="Century Gothic" w:eastAsiaTheme="minorEastAsia" w:hAnsi="Century Gothic"/>
          <w:sz w:val="20"/>
          <w:szCs w:val="20"/>
        </w:rPr>
        <w:t xml:space="preserve"> may discolor copper and its associated alloys, thus if staining is objectionable, it is not recommended for use in those situations.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2E3F3D">
        <w:rPr>
          <w:rFonts w:ascii="Century Gothic" w:eastAsiaTheme="minorEastAsia" w:hAnsi="Century Gothic"/>
          <w:sz w:val="20"/>
          <w:szCs w:val="20"/>
        </w:rPr>
        <w:t>Superior wetting and penetration at point of cut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  <w:r w:rsidR="00142ED1">
        <w:rPr>
          <w:rFonts w:ascii="Century Gothic" w:eastAsiaTheme="minorEastAsia" w:hAnsi="Century Gothic"/>
          <w:sz w:val="20"/>
          <w:szCs w:val="20"/>
        </w:rPr>
        <w:t>– Minimizing fogging and spray mist</w:t>
      </w:r>
    </w:p>
    <w:p w:rsidR="00F04B21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2E3F3D" w:rsidRDefault="002E3F3D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*Unparalleled lubricity </w:t>
      </w:r>
      <w:r w:rsidR="00BF1E07">
        <w:rPr>
          <w:rFonts w:ascii="Century Gothic" w:eastAsiaTheme="minorEastAsia" w:hAnsi="Century Gothic"/>
          <w:sz w:val="20"/>
          <w:szCs w:val="20"/>
        </w:rPr>
        <w:br/>
        <w:t xml:space="preserve">*Pleasant odor with a distinguishable red color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F04B21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Viscosity, ASTM D 445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</w:p>
    <w:p w:rsidR="009976A0" w:rsidRPr="004505FD" w:rsidRDefault="009976A0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 w:rsidRPr="004505FD">
        <w:rPr>
          <w:rFonts w:ascii="Century Gothic" w:hAnsi="Century Gothic"/>
        </w:rPr>
        <w:t>cSt</w:t>
      </w:r>
      <w:proofErr w:type="spellEnd"/>
      <w:proofErr w:type="gramEnd"/>
      <w:r w:rsidRPr="004505FD">
        <w:rPr>
          <w:rFonts w:ascii="Century Gothic" w:hAnsi="Century Gothic"/>
        </w:rPr>
        <w:t xml:space="preserve"> @ 40°C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7.5</w:t>
      </w:r>
    </w:p>
    <w:p w:rsidR="009976A0" w:rsidRPr="004505FD" w:rsidRDefault="009976A0" w:rsidP="004505FD">
      <w:pPr>
        <w:pStyle w:val="NoSpacing"/>
        <w:rPr>
          <w:rFonts w:ascii="Century Gothic" w:hAnsi="Century Gothic"/>
        </w:rPr>
      </w:pPr>
      <w:proofErr w:type="spellStart"/>
      <w:proofErr w:type="gramStart"/>
      <w:r w:rsidRPr="004505FD">
        <w:rPr>
          <w:rFonts w:ascii="Century Gothic" w:hAnsi="Century Gothic"/>
        </w:rPr>
        <w:t>cSt</w:t>
      </w:r>
      <w:proofErr w:type="spellEnd"/>
      <w:proofErr w:type="gramEnd"/>
      <w:r w:rsidRPr="004505FD">
        <w:rPr>
          <w:rFonts w:ascii="Century Gothic" w:hAnsi="Century Gothic"/>
        </w:rPr>
        <w:t xml:space="preserve"> @ 100°C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2.5</w:t>
      </w:r>
    </w:p>
    <w:p w:rsidR="009976A0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Pour point, °C. ASTM D 97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  <w:t>-15</w:t>
      </w:r>
    </w:p>
    <w:p w:rsidR="00E93C5C" w:rsidRPr="004505FD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Flash, °C, ASTM D 92</w:t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Pr="004505FD">
        <w:rPr>
          <w:rFonts w:ascii="Century Gothic" w:hAnsi="Century Gothic"/>
        </w:rPr>
        <w:tab/>
      </w:r>
      <w:r w:rsidR="00AB2DF7">
        <w:rPr>
          <w:rFonts w:ascii="Century Gothic" w:hAnsi="Century Gothic"/>
        </w:rPr>
        <w:t>165</w:t>
      </w:r>
    </w:p>
    <w:p w:rsidR="009976A0" w:rsidRDefault="009976A0" w:rsidP="004505FD">
      <w:pPr>
        <w:pStyle w:val="NoSpacing"/>
        <w:rPr>
          <w:rFonts w:ascii="Century Gothic" w:hAnsi="Century Gothic"/>
        </w:rPr>
      </w:pPr>
      <w:r w:rsidRPr="004505FD">
        <w:rPr>
          <w:rFonts w:ascii="Century Gothic" w:hAnsi="Century Gothic"/>
        </w:rPr>
        <w:t>Specific Grav</w:t>
      </w:r>
      <w:r w:rsidR="00AB2DF7">
        <w:rPr>
          <w:rFonts w:ascii="Century Gothic" w:hAnsi="Century Gothic"/>
        </w:rPr>
        <w:t>ity @ 15°C kg/l, ASTM D 1298</w:t>
      </w:r>
      <w:r w:rsidR="00AB2DF7">
        <w:rPr>
          <w:rFonts w:ascii="Century Gothic" w:hAnsi="Century Gothic"/>
        </w:rPr>
        <w:tab/>
        <w:t>.954</w:t>
      </w:r>
    </w:p>
    <w:p w:rsidR="00BF1E07" w:rsidRDefault="00BF1E0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Color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Red</w:t>
      </w:r>
    </w:p>
    <w:p w:rsidR="00AB2DF7" w:rsidRDefault="00AB2DF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Sulphur Ester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1.5%</w:t>
      </w:r>
    </w:p>
    <w:p w:rsidR="00AB2DF7" w:rsidRPr="004505FD" w:rsidRDefault="00AB2DF7" w:rsidP="004505F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Chlorine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5%</w:t>
      </w:r>
    </w:p>
    <w:p w:rsidR="004505FD" w:rsidRDefault="004505FD" w:rsidP="004505FD">
      <w:pPr>
        <w:pStyle w:val="NoSpacing"/>
      </w:pPr>
    </w:p>
    <w:p w:rsidR="000959E8" w:rsidRPr="00E93C5C" w:rsidRDefault="000959E8">
      <w:pPr>
        <w:rPr>
          <w:rFonts w:ascii="Century Gothic" w:hAnsi="Century Gothic"/>
        </w:rPr>
      </w:pPr>
    </w:p>
    <w:p w:rsidR="00E93C5C" w:rsidRPr="00E93C5C" w:rsidRDefault="00E93C5C" w:rsidP="00E93C5C">
      <w:pPr>
        <w:jc w:val="center"/>
        <w:rPr>
          <w:rFonts w:ascii="Century Gothic" w:hAnsi="Century Gothic"/>
        </w:rPr>
      </w:pPr>
      <w:r w:rsidRPr="00E93C5C">
        <w:rPr>
          <w:rFonts w:ascii="Century Gothic" w:hAnsi="Century Gothic"/>
        </w:rPr>
        <w:t>Visit us at – www.beaconlubricants.com</w:t>
      </w:r>
    </w:p>
    <w:sectPr w:rsidR="00E93C5C" w:rsidRPr="00E93C5C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142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0379EE"/>
    <w:rsid w:val="000959E8"/>
    <w:rsid w:val="000B1D85"/>
    <w:rsid w:val="0014294F"/>
    <w:rsid w:val="00142ED1"/>
    <w:rsid w:val="001518A9"/>
    <w:rsid w:val="0015578E"/>
    <w:rsid w:val="00236384"/>
    <w:rsid w:val="002B3A8C"/>
    <w:rsid w:val="002E3F3D"/>
    <w:rsid w:val="003C355E"/>
    <w:rsid w:val="004505FD"/>
    <w:rsid w:val="006343AD"/>
    <w:rsid w:val="007375C4"/>
    <w:rsid w:val="00812709"/>
    <w:rsid w:val="009302A3"/>
    <w:rsid w:val="009310D3"/>
    <w:rsid w:val="009976A0"/>
    <w:rsid w:val="009F537C"/>
    <w:rsid w:val="00A43830"/>
    <w:rsid w:val="00AB2DF7"/>
    <w:rsid w:val="00BF1E07"/>
    <w:rsid w:val="00C41916"/>
    <w:rsid w:val="00D06FB8"/>
    <w:rsid w:val="00DE23DF"/>
    <w:rsid w:val="00E11175"/>
    <w:rsid w:val="00E16271"/>
    <w:rsid w:val="00E54BC7"/>
    <w:rsid w:val="00E8420C"/>
    <w:rsid w:val="00E93C5C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13</cp:revision>
  <cp:lastPrinted>2016-11-10T16:57:00Z</cp:lastPrinted>
  <dcterms:created xsi:type="dcterms:W3CDTF">2016-11-09T18:40:00Z</dcterms:created>
  <dcterms:modified xsi:type="dcterms:W3CDTF">2016-11-10T17:18:00Z</dcterms:modified>
</cp:coreProperties>
</file>